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3140" w14:textId="11331E62" w:rsidR="000436F0" w:rsidRPr="000436F0" w:rsidRDefault="000436F0" w:rsidP="000436F0">
      <w:pPr>
        <w:pStyle w:val="aa"/>
        <w:pBdr>
          <w:top w:val="single" w:sz="6" w:space="6" w:color="B83D68" w:themeColor="accent1"/>
          <w:bottom w:val="single" w:sz="6" w:space="6" w:color="B83D68" w:themeColor="accent1"/>
        </w:pBdr>
        <w:spacing w:after="240"/>
        <w:ind w:left="29" w:right="-11"/>
        <w:jc w:val="center"/>
        <w:rPr>
          <w:rFonts w:ascii="Century Gothic" w:eastAsiaTheme="majorEastAsia" w:hAnsi="Century Gothic" w:cstheme="majorBidi"/>
          <w:caps/>
          <w:sz w:val="40"/>
          <w:szCs w:val="40"/>
        </w:rPr>
      </w:pPr>
      <w:r w:rsidRPr="000436F0">
        <w:rPr>
          <w:rFonts w:ascii="Century Gothic" w:eastAsiaTheme="majorEastAsia" w:hAnsi="Century Gothic" w:cstheme="majorBidi"/>
          <w:caps/>
          <w:sz w:val="40"/>
          <w:szCs w:val="40"/>
        </w:rPr>
        <w:t>ενημερωτικο δελτιο</w:t>
      </w:r>
    </w:p>
    <w:p w14:paraId="40FCA982" w14:textId="50713C44" w:rsidR="00C50BC9" w:rsidRPr="004635EF" w:rsidRDefault="00A52428" w:rsidP="00624607">
      <w:pPr>
        <w:spacing w:after="120"/>
        <w:jc w:val="center"/>
        <w:rPr>
          <w:rFonts w:ascii="Century Gothic" w:hAnsi="Century Gothic"/>
          <w:b/>
          <w:iCs/>
          <w:sz w:val="20"/>
          <w:szCs w:val="20"/>
        </w:rPr>
      </w:pPr>
      <w:r w:rsidRPr="004635EF">
        <w:rPr>
          <w:rFonts w:ascii="Century Gothic" w:hAnsi="Century Gothic"/>
          <w:b/>
          <w:iCs/>
          <w:sz w:val="20"/>
          <w:szCs w:val="20"/>
        </w:rPr>
        <w:t>Νέος Αναπτυξιακός Νόμος 4</w:t>
      </w:r>
      <w:r w:rsidR="00EC52D2" w:rsidRPr="004635EF">
        <w:rPr>
          <w:rFonts w:ascii="Century Gothic" w:hAnsi="Century Gothic"/>
          <w:b/>
          <w:iCs/>
          <w:sz w:val="20"/>
          <w:szCs w:val="20"/>
        </w:rPr>
        <w:t>887</w:t>
      </w:r>
      <w:r w:rsidRPr="004635EF">
        <w:rPr>
          <w:rFonts w:ascii="Century Gothic" w:hAnsi="Century Gothic"/>
          <w:b/>
          <w:iCs/>
          <w:sz w:val="20"/>
          <w:szCs w:val="20"/>
        </w:rPr>
        <w:t>/20</w:t>
      </w:r>
      <w:r w:rsidR="00EC52D2" w:rsidRPr="004635EF">
        <w:rPr>
          <w:rFonts w:ascii="Century Gothic" w:hAnsi="Century Gothic"/>
          <w:b/>
          <w:iCs/>
          <w:sz w:val="20"/>
          <w:szCs w:val="20"/>
        </w:rPr>
        <w:t>22</w:t>
      </w:r>
    </w:p>
    <w:p w14:paraId="656C7275" w14:textId="5A32DFDB" w:rsidR="00A52428" w:rsidRPr="004635EF" w:rsidRDefault="00F429B3" w:rsidP="00624607">
      <w:pPr>
        <w:spacing w:after="120"/>
        <w:jc w:val="center"/>
        <w:rPr>
          <w:rFonts w:ascii="Century Gothic" w:hAnsi="Century Gothic"/>
          <w:b/>
          <w:i/>
          <w:sz w:val="20"/>
          <w:szCs w:val="20"/>
        </w:rPr>
      </w:pPr>
      <w:r w:rsidRPr="004635EF">
        <w:rPr>
          <w:rFonts w:ascii="Century Gothic" w:hAnsi="Century Gothic"/>
          <w:b/>
          <w:i/>
          <w:sz w:val="20"/>
          <w:szCs w:val="20"/>
        </w:rPr>
        <w:t>«</w:t>
      </w:r>
      <w:r w:rsidR="008C79E9">
        <w:rPr>
          <w:rFonts w:ascii="Century Gothic" w:hAnsi="Century Gothic"/>
          <w:b/>
          <w:i/>
          <w:sz w:val="20"/>
          <w:szCs w:val="20"/>
        </w:rPr>
        <w:t>Επιχειρηματικότητα 360</w:t>
      </w:r>
      <w:r w:rsidRPr="004635EF">
        <w:rPr>
          <w:rFonts w:ascii="Century Gothic" w:hAnsi="Century Gothic"/>
          <w:b/>
          <w:i/>
          <w:sz w:val="20"/>
          <w:szCs w:val="20"/>
        </w:rPr>
        <w:t>»</w:t>
      </w:r>
    </w:p>
    <w:p w14:paraId="0C6FEE10" w14:textId="77777777" w:rsidR="00A52428" w:rsidRPr="004635EF" w:rsidRDefault="00A52428" w:rsidP="00624607">
      <w:pPr>
        <w:spacing w:after="120"/>
        <w:jc w:val="center"/>
        <w:rPr>
          <w:rFonts w:ascii="Century Gothic" w:hAnsi="Century Gothic"/>
          <w:b/>
          <w:iCs/>
          <w:sz w:val="20"/>
          <w:szCs w:val="20"/>
        </w:rPr>
      </w:pPr>
    </w:p>
    <w:p w14:paraId="3D0CA372" w14:textId="3A26E230" w:rsidR="00400E5C" w:rsidRPr="004635EF" w:rsidRDefault="00497153" w:rsidP="00624607">
      <w:pPr>
        <w:spacing w:after="120"/>
        <w:jc w:val="both"/>
        <w:rPr>
          <w:rFonts w:ascii="Century Gothic" w:hAnsi="Century Gothic"/>
          <w:iCs/>
          <w:sz w:val="20"/>
          <w:szCs w:val="20"/>
        </w:rPr>
      </w:pPr>
      <w:r w:rsidRPr="004635EF">
        <w:rPr>
          <w:rFonts w:ascii="Century Gothic" w:hAnsi="Century Gothic"/>
          <w:iCs/>
          <w:sz w:val="20"/>
          <w:szCs w:val="20"/>
        </w:rPr>
        <w:t xml:space="preserve">Στις </w:t>
      </w:r>
      <w:r w:rsidR="008C79E9">
        <w:rPr>
          <w:rFonts w:ascii="Century Gothic" w:hAnsi="Century Gothic"/>
          <w:iCs/>
          <w:sz w:val="20"/>
          <w:szCs w:val="20"/>
        </w:rPr>
        <w:t>2</w:t>
      </w:r>
      <w:r w:rsidR="0005474E" w:rsidRPr="004635EF">
        <w:rPr>
          <w:rFonts w:ascii="Century Gothic" w:hAnsi="Century Gothic"/>
          <w:iCs/>
          <w:sz w:val="20"/>
          <w:szCs w:val="20"/>
        </w:rPr>
        <w:t>9</w:t>
      </w:r>
      <w:r w:rsidR="00AB76EC" w:rsidRPr="004635EF">
        <w:rPr>
          <w:rFonts w:ascii="Century Gothic" w:hAnsi="Century Gothic"/>
          <w:iCs/>
          <w:sz w:val="20"/>
          <w:szCs w:val="20"/>
        </w:rPr>
        <w:t xml:space="preserve"> </w:t>
      </w:r>
      <w:r w:rsidR="008C79E9">
        <w:rPr>
          <w:rFonts w:ascii="Century Gothic" w:hAnsi="Century Gothic"/>
          <w:iCs/>
          <w:sz w:val="20"/>
          <w:szCs w:val="20"/>
        </w:rPr>
        <w:t>Δεκεμβρίου</w:t>
      </w:r>
      <w:r w:rsidR="00FD2028" w:rsidRPr="004635EF">
        <w:rPr>
          <w:rFonts w:ascii="Century Gothic" w:hAnsi="Century Gothic"/>
          <w:iCs/>
          <w:sz w:val="20"/>
          <w:szCs w:val="20"/>
        </w:rPr>
        <w:t xml:space="preserve"> </w:t>
      </w:r>
      <w:r w:rsidR="00E76D9B" w:rsidRPr="004635EF">
        <w:rPr>
          <w:rFonts w:ascii="Century Gothic" w:hAnsi="Century Gothic"/>
          <w:iCs/>
          <w:sz w:val="20"/>
          <w:szCs w:val="20"/>
        </w:rPr>
        <w:t>του 20</w:t>
      </w:r>
      <w:r w:rsidR="004056BE" w:rsidRPr="004635EF">
        <w:rPr>
          <w:rFonts w:ascii="Century Gothic" w:hAnsi="Century Gothic"/>
          <w:iCs/>
          <w:sz w:val="20"/>
          <w:szCs w:val="20"/>
        </w:rPr>
        <w:t>2</w:t>
      </w:r>
      <w:r w:rsidR="00EC52D2" w:rsidRPr="004635EF">
        <w:rPr>
          <w:rFonts w:ascii="Century Gothic" w:hAnsi="Century Gothic"/>
          <w:iCs/>
          <w:sz w:val="20"/>
          <w:szCs w:val="20"/>
        </w:rPr>
        <w:t>2</w:t>
      </w:r>
      <w:r w:rsidR="00E53167" w:rsidRPr="004635EF">
        <w:rPr>
          <w:rFonts w:ascii="Century Gothic" w:hAnsi="Century Gothic"/>
          <w:iCs/>
          <w:sz w:val="20"/>
          <w:szCs w:val="20"/>
        </w:rPr>
        <w:t xml:space="preserve"> </w:t>
      </w:r>
      <w:r w:rsidR="00062658" w:rsidRPr="004635EF">
        <w:rPr>
          <w:rFonts w:ascii="Century Gothic" w:hAnsi="Century Gothic"/>
          <w:iCs/>
          <w:sz w:val="20"/>
          <w:szCs w:val="20"/>
        </w:rPr>
        <w:t xml:space="preserve">ανακοινώθηκε η δημοσίευση της </w:t>
      </w:r>
      <w:r w:rsidR="00EC52D2" w:rsidRPr="004635EF">
        <w:rPr>
          <w:rFonts w:ascii="Century Gothic" w:hAnsi="Century Gothic"/>
          <w:b/>
          <w:iCs/>
          <w:sz w:val="20"/>
          <w:szCs w:val="20"/>
        </w:rPr>
        <w:t>1</w:t>
      </w:r>
      <w:r w:rsidR="00EC52D2" w:rsidRPr="004635EF">
        <w:rPr>
          <w:rFonts w:ascii="Century Gothic" w:hAnsi="Century Gothic"/>
          <w:b/>
          <w:iCs/>
          <w:sz w:val="20"/>
          <w:szCs w:val="20"/>
          <w:vertAlign w:val="superscript"/>
        </w:rPr>
        <w:t xml:space="preserve">ης </w:t>
      </w:r>
      <w:r w:rsidR="00EC52D2" w:rsidRPr="004635EF">
        <w:rPr>
          <w:rFonts w:ascii="Century Gothic" w:hAnsi="Century Gothic"/>
          <w:b/>
          <w:iCs/>
          <w:sz w:val="20"/>
          <w:szCs w:val="20"/>
        </w:rPr>
        <w:t>προκήρυξης</w:t>
      </w:r>
      <w:r w:rsidR="00062658" w:rsidRPr="004635EF">
        <w:rPr>
          <w:rFonts w:ascii="Century Gothic" w:hAnsi="Century Gothic"/>
          <w:b/>
          <w:iCs/>
          <w:sz w:val="20"/>
          <w:szCs w:val="20"/>
        </w:rPr>
        <w:t xml:space="preserve"> του </w:t>
      </w:r>
      <w:r w:rsidR="00400E5C" w:rsidRPr="004635EF">
        <w:rPr>
          <w:rFonts w:ascii="Century Gothic" w:hAnsi="Century Gothic"/>
          <w:b/>
          <w:iCs/>
          <w:sz w:val="20"/>
          <w:szCs w:val="20"/>
        </w:rPr>
        <w:t>Κ</w:t>
      </w:r>
      <w:r w:rsidR="00062658" w:rsidRPr="004635EF">
        <w:rPr>
          <w:rFonts w:ascii="Century Gothic" w:hAnsi="Century Gothic"/>
          <w:b/>
          <w:iCs/>
          <w:sz w:val="20"/>
          <w:szCs w:val="20"/>
        </w:rPr>
        <w:t xml:space="preserve">αθεστώτος </w:t>
      </w:r>
      <w:r w:rsidR="00400E5C" w:rsidRPr="004635EF">
        <w:rPr>
          <w:rFonts w:ascii="Century Gothic" w:hAnsi="Century Gothic"/>
          <w:b/>
          <w:iCs/>
          <w:sz w:val="20"/>
          <w:szCs w:val="20"/>
        </w:rPr>
        <w:t>Ε</w:t>
      </w:r>
      <w:r w:rsidR="00062658" w:rsidRPr="004635EF">
        <w:rPr>
          <w:rFonts w:ascii="Century Gothic" w:hAnsi="Century Gothic"/>
          <w:b/>
          <w:iCs/>
          <w:sz w:val="20"/>
          <w:szCs w:val="20"/>
        </w:rPr>
        <w:t>ν</w:t>
      </w:r>
      <w:r w:rsidR="00EC52D2" w:rsidRPr="004635EF">
        <w:rPr>
          <w:rFonts w:ascii="Century Gothic" w:hAnsi="Century Gothic"/>
          <w:b/>
          <w:iCs/>
          <w:sz w:val="20"/>
          <w:szCs w:val="20"/>
        </w:rPr>
        <w:t>ί</w:t>
      </w:r>
      <w:r w:rsidR="00062658" w:rsidRPr="004635EF">
        <w:rPr>
          <w:rFonts w:ascii="Century Gothic" w:hAnsi="Century Gothic"/>
          <w:b/>
          <w:iCs/>
          <w:sz w:val="20"/>
          <w:szCs w:val="20"/>
        </w:rPr>
        <w:t>σχ</w:t>
      </w:r>
      <w:r w:rsidR="00EC52D2" w:rsidRPr="004635EF">
        <w:rPr>
          <w:rFonts w:ascii="Century Gothic" w:hAnsi="Century Gothic"/>
          <w:b/>
          <w:iCs/>
          <w:sz w:val="20"/>
          <w:szCs w:val="20"/>
        </w:rPr>
        <w:t>υ</w:t>
      </w:r>
      <w:r w:rsidR="00062658" w:rsidRPr="004635EF">
        <w:rPr>
          <w:rFonts w:ascii="Century Gothic" w:hAnsi="Century Gothic"/>
          <w:b/>
          <w:iCs/>
          <w:sz w:val="20"/>
          <w:szCs w:val="20"/>
        </w:rPr>
        <w:t>σ</w:t>
      </w:r>
      <w:r w:rsidR="00EC52D2" w:rsidRPr="004635EF">
        <w:rPr>
          <w:rFonts w:ascii="Century Gothic" w:hAnsi="Century Gothic"/>
          <w:b/>
          <w:iCs/>
          <w:sz w:val="20"/>
          <w:szCs w:val="20"/>
        </w:rPr>
        <w:t>ης</w:t>
      </w:r>
      <w:r w:rsidR="00062658" w:rsidRPr="004635EF">
        <w:rPr>
          <w:rFonts w:ascii="Century Gothic" w:hAnsi="Century Gothic"/>
          <w:b/>
          <w:iCs/>
          <w:sz w:val="20"/>
          <w:szCs w:val="20"/>
        </w:rPr>
        <w:t xml:space="preserve"> </w:t>
      </w:r>
      <w:r w:rsidR="00EC52D2" w:rsidRPr="004635EF">
        <w:rPr>
          <w:rFonts w:ascii="Century Gothic" w:hAnsi="Century Gothic"/>
          <w:b/>
          <w:iCs/>
          <w:sz w:val="20"/>
          <w:szCs w:val="20"/>
        </w:rPr>
        <w:t>«</w:t>
      </w:r>
      <w:r w:rsidR="008C79E9">
        <w:rPr>
          <w:rFonts w:ascii="Century Gothic" w:hAnsi="Century Gothic"/>
          <w:b/>
          <w:iCs/>
          <w:sz w:val="20"/>
          <w:szCs w:val="20"/>
        </w:rPr>
        <w:t>Επιχειρηματικότητα 360</w:t>
      </w:r>
      <w:r w:rsidR="00EC52D2" w:rsidRPr="004635EF">
        <w:rPr>
          <w:rFonts w:ascii="Century Gothic" w:hAnsi="Century Gothic"/>
          <w:b/>
          <w:iCs/>
          <w:sz w:val="20"/>
          <w:szCs w:val="20"/>
        </w:rPr>
        <w:t>»</w:t>
      </w:r>
      <w:r w:rsidR="00062658" w:rsidRPr="004635EF">
        <w:rPr>
          <w:rFonts w:ascii="Century Gothic" w:hAnsi="Century Gothic"/>
          <w:iCs/>
          <w:sz w:val="20"/>
          <w:szCs w:val="20"/>
        </w:rPr>
        <w:t>.</w:t>
      </w:r>
      <w:r w:rsidR="00250C07" w:rsidRPr="004635EF">
        <w:rPr>
          <w:rFonts w:ascii="Century Gothic" w:hAnsi="Century Gothic"/>
          <w:iCs/>
          <w:sz w:val="20"/>
          <w:szCs w:val="20"/>
        </w:rPr>
        <w:t xml:space="preserve"> </w:t>
      </w:r>
      <w:r w:rsidR="00400E5C" w:rsidRPr="004635EF">
        <w:rPr>
          <w:rFonts w:ascii="Century Gothic" w:hAnsi="Century Gothic"/>
          <w:iCs/>
          <w:sz w:val="20"/>
          <w:szCs w:val="20"/>
        </w:rPr>
        <w:t>Ως</w:t>
      </w:r>
      <w:r w:rsidR="00351AC3" w:rsidRPr="004635EF">
        <w:rPr>
          <w:rFonts w:ascii="Century Gothic" w:hAnsi="Century Gothic"/>
          <w:iCs/>
          <w:sz w:val="20"/>
          <w:szCs w:val="20"/>
        </w:rPr>
        <w:t xml:space="preserve"> ημερομηνία έναρξης της υποβολής αιτήσεων υπαγωγής επενδυτικών σχεδίων στο παρόν καθεστώς </w:t>
      </w:r>
      <w:r w:rsidR="00400E5C" w:rsidRPr="004635EF">
        <w:rPr>
          <w:rFonts w:ascii="Century Gothic" w:hAnsi="Century Gothic"/>
          <w:iCs/>
          <w:sz w:val="20"/>
          <w:szCs w:val="20"/>
        </w:rPr>
        <w:t>ορίζεται</w:t>
      </w:r>
      <w:r w:rsidR="00DC2453" w:rsidRPr="004635EF">
        <w:rPr>
          <w:rFonts w:ascii="Century Gothic" w:hAnsi="Century Gothic"/>
          <w:iCs/>
          <w:sz w:val="20"/>
          <w:szCs w:val="20"/>
        </w:rPr>
        <w:t xml:space="preserve"> η </w:t>
      </w:r>
      <w:r w:rsidR="008C79E9">
        <w:rPr>
          <w:rFonts w:ascii="Century Gothic" w:hAnsi="Century Gothic"/>
          <w:b/>
          <w:iCs/>
          <w:sz w:val="20"/>
          <w:szCs w:val="20"/>
        </w:rPr>
        <w:t>9</w:t>
      </w:r>
      <w:r w:rsidR="005F4B33" w:rsidRPr="004635EF">
        <w:rPr>
          <w:rFonts w:ascii="Century Gothic" w:hAnsi="Century Gothic"/>
          <w:b/>
          <w:iCs/>
          <w:sz w:val="20"/>
          <w:szCs w:val="20"/>
        </w:rPr>
        <w:t xml:space="preserve">η </w:t>
      </w:r>
      <w:r w:rsidR="008C79E9">
        <w:rPr>
          <w:rFonts w:ascii="Century Gothic" w:hAnsi="Century Gothic"/>
          <w:b/>
          <w:iCs/>
          <w:sz w:val="20"/>
          <w:szCs w:val="20"/>
        </w:rPr>
        <w:t>Ιανουαρίου</w:t>
      </w:r>
      <w:r w:rsidR="005F4B33" w:rsidRPr="004635EF">
        <w:rPr>
          <w:rFonts w:ascii="Century Gothic" w:hAnsi="Century Gothic"/>
          <w:b/>
          <w:iCs/>
          <w:sz w:val="20"/>
          <w:szCs w:val="20"/>
        </w:rPr>
        <w:t xml:space="preserve"> 202</w:t>
      </w:r>
      <w:r w:rsidR="008C79E9">
        <w:rPr>
          <w:rFonts w:ascii="Century Gothic" w:hAnsi="Century Gothic"/>
          <w:b/>
          <w:iCs/>
          <w:sz w:val="20"/>
          <w:szCs w:val="20"/>
        </w:rPr>
        <w:t>3</w:t>
      </w:r>
      <w:r w:rsidR="00351AC3" w:rsidRPr="004635EF">
        <w:rPr>
          <w:rFonts w:ascii="Century Gothic" w:hAnsi="Century Gothic"/>
          <w:iCs/>
          <w:sz w:val="20"/>
          <w:szCs w:val="20"/>
        </w:rPr>
        <w:t xml:space="preserve">. </w:t>
      </w:r>
      <w:r w:rsidR="00400E5C" w:rsidRPr="004635EF">
        <w:rPr>
          <w:rFonts w:ascii="Century Gothic" w:hAnsi="Century Gothic"/>
          <w:iCs/>
          <w:sz w:val="20"/>
          <w:szCs w:val="20"/>
        </w:rPr>
        <w:t>Ημερομηνία λήξης του κύκλου υποβολών ορίζεται η</w:t>
      </w:r>
      <w:r w:rsidR="00400E5C" w:rsidRPr="004635EF">
        <w:rPr>
          <w:rFonts w:ascii="Century Gothic" w:hAnsi="Century Gothic"/>
          <w:b/>
          <w:bCs/>
          <w:iCs/>
          <w:sz w:val="20"/>
          <w:szCs w:val="20"/>
        </w:rPr>
        <w:t xml:space="preserve"> </w:t>
      </w:r>
      <w:r w:rsidR="008C79E9">
        <w:rPr>
          <w:rFonts w:ascii="Century Gothic" w:hAnsi="Century Gothic"/>
          <w:b/>
          <w:bCs/>
          <w:iCs/>
          <w:sz w:val="20"/>
          <w:szCs w:val="20"/>
        </w:rPr>
        <w:t>10</w:t>
      </w:r>
      <w:r w:rsidR="005F4B33" w:rsidRPr="004635EF">
        <w:rPr>
          <w:rFonts w:ascii="Century Gothic" w:hAnsi="Century Gothic"/>
          <w:b/>
          <w:bCs/>
          <w:iCs/>
          <w:sz w:val="20"/>
          <w:szCs w:val="20"/>
        </w:rPr>
        <w:t>η</w:t>
      </w:r>
      <w:r w:rsidR="00B85D91" w:rsidRPr="004635EF">
        <w:rPr>
          <w:rFonts w:ascii="Century Gothic" w:hAnsi="Century Gothic"/>
          <w:b/>
          <w:iCs/>
          <w:sz w:val="20"/>
          <w:szCs w:val="20"/>
        </w:rPr>
        <w:t xml:space="preserve"> </w:t>
      </w:r>
      <w:r w:rsidR="008C79E9">
        <w:rPr>
          <w:rFonts w:ascii="Century Gothic" w:hAnsi="Century Gothic"/>
          <w:b/>
          <w:iCs/>
          <w:sz w:val="20"/>
          <w:szCs w:val="20"/>
        </w:rPr>
        <w:t>Απριλίου</w:t>
      </w:r>
      <w:r w:rsidR="00013106" w:rsidRPr="004635EF">
        <w:rPr>
          <w:rFonts w:ascii="Century Gothic" w:hAnsi="Century Gothic"/>
          <w:b/>
          <w:iCs/>
          <w:sz w:val="20"/>
          <w:szCs w:val="20"/>
        </w:rPr>
        <w:t xml:space="preserve"> 202</w:t>
      </w:r>
      <w:r w:rsidR="008C79E9">
        <w:rPr>
          <w:rFonts w:ascii="Century Gothic" w:hAnsi="Century Gothic"/>
          <w:b/>
          <w:iCs/>
          <w:sz w:val="20"/>
          <w:szCs w:val="20"/>
        </w:rPr>
        <w:t>3</w:t>
      </w:r>
      <w:r w:rsidR="00400E5C" w:rsidRPr="004635EF">
        <w:rPr>
          <w:rFonts w:ascii="Century Gothic" w:hAnsi="Century Gothic"/>
          <w:iCs/>
          <w:sz w:val="20"/>
          <w:szCs w:val="20"/>
        </w:rPr>
        <w:t>.</w:t>
      </w:r>
    </w:p>
    <w:p w14:paraId="28E718C5" w14:textId="09AF793D" w:rsidR="000D2C4C" w:rsidRPr="004635EF" w:rsidRDefault="00223321" w:rsidP="00624607">
      <w:pPr>
        <w:spacing w:after="120"/>
        <w:jc w:val="both"/>
        <w:rPr>
          <w:rFonts w:ascii="Century Gothic" w:hAnsi="Century Gothic"/>
          <w:iCs/>
          <w:sz w:val="20"/>
          <w:szCs w:val="20"/>
        </w:rPr>
      </w:pPr>
      <w:r w:rsidRPr="004635EF">
        <w:rPr>
          <w:rFonts w:ascii="Century Gothic" w:hAnsi="Century Gothic"/>
          <w:iCs/>
          <w:sz w:val="20"/>
          <w:szCs w:val="20"/>
        </w:rPr>
        <w:t>Η έ</w:t>
      </w:r>
      <w:r w:rsidR="004E5EDB" w:rsidRPr="004635EF">
        <w:rPr>
          <w:rFonts w:ascii="Century Gothic" w:hAnsi="Century Gothic"/>
          <w:iCs/>
          <w:sz w:val="20"/>
          <w:szCs w:val="20"/>
        </w:rPr>
        <w:t>ναρξη ε</w:t>
      </w:r>
      <w:r w:rsidR="001C7FAE" w:rsidRPr="004635EF">
        <w:rPr>
          <w:rFonts w:ascii="Century Gothic" w:hAnsi="Century Gothic"/>
          <w:iCs/>
          <w:sz w:val="20"/>
          <w:szCs w:val="20"/>
        </w:rPr>
        <w:t xml:space="preserve">ργασιών του Επενδυτικού Σχεδίου </w:t>
      </w:r>
      <w:r w:rsidR="003B12BD" w:rsidRPr="004635EF">
        <w:rPr>
          <w:rFonts w:ascii="Century Gothic" w:hAnsi="Century Gothic"/>
          <w:iCs/>
          <w:sz w:val="20"/>
          <w:szCs w:val="20"/>
        </w:rPr>
        <w:t>πρέπει</w:t>
      </w:r>
      <w:r w:rsidR="001C7FAE" w:rsidRPr="004635EF">
        <w:rPr>
          <w:rFonts w:ascii="Century Gothic" w:hAnsi="Century Gothic"/>
          <w:iCs/>
          <w:sz w:val="20"/>
          <w:szCs w:val="20"/>
        </w:rPr>
        <w:t xml:space="preserve"> </w:t>
      </w:r>
      <w:r w:rsidR="004E5EDB" w:rsidRPr="004635EF">
        <w:rPr>
          <w:rFonts w:ascii="Century Gothic" w:hAnsi="Century Gothic"/>
          <w:iCs/>
          <w:sz w:val="20"/>
          <w:szCs w:val="20"/>
        </w:rPr>
        <w:t xml:space="preserve">να πραγματοποιείται </w:t>
      </w:r>
      <w:r w:rsidR="004E5EDB" w:rsidRPr="004635EF">
        <w:rPr>
          <w:rFonts w:ascii="Century Gothic" w:hAnsi="Century Gothic"/>
          <w:b/>
          <w:iCs/>
          <w:sz w:val="20"/>
          <w:szCs w:val="20"/>
        </w:rPr>
        <w:t>μετά την υποβολή της Αίτησης Υπαγωγής</w:t>
      </w:r>
      <w:r w:rsidR="004E5EDB" w:rsidRPr="004635EF">
        <w:rPr>
          <w:rFonts w:ascii="Century Gothic" w:hAnsi="Century Gothic"/>
          <w:iCs/>
          <w:sz w:val="20"/>
          <w:szCs w:val="20"/>
        </w:rPr>
        <w:t>.</w:t>
      </w:r>
    </w:p>
    <w:p w14:paraId="04A90934" w14:textId="51ABE24C" w:rsidR="003C4585" w:rsidRPr="004635EF" w:rsidRDefault="00740EB7" w:rsidP="00624607">
      <w:pPr>
        <w:spacing w:after="120"/>
        <w:jc w:val="both"/>
        <w:rPr>
          <w:rFonts w:ascii="Century Gothic" w:hAnsi="Century Gothic"/>
          <w:iCs/>
          <w:sz w:val="20"/>
          <w:szCs w:val="20"/>
        </w:rPr>
      </w:pPr>
      <w:r w:rsidRPr="004635EF">
        <w:rPr>
          <w:rFonts w:ascii="Century Gothic" w:hAnsi="Century Gothic"/>
          <w:iCs/>
          <w:sz w:val="20"/>
          <w:szCs w:val="20"/>
        </w:rPr>
        <w:t xml:space="preserve">Η </w:t>
      </w:r>
      <w:r w:rsidRPr="004635EF">
        <w:rPr>
          <w:rFonts w:ascii="Century Gothic" w:hAnsi="Century Gothic"/>
          <w:b/>
          <w:iCs/>
          <w:sz w:val="20"/>
          <w:szCs w:val="20"/>
        </w:rPr>
        <w:t>“</w:t>
      </w:r>
      <w:r w:rsidR="008C79E9">
        <w:rPr>
          <w:rFonts w:ascii="Century Gothic" w:hAnsi="Century Gothic"/>
          <w:b/>
          <w:iCs/>
          <w:sz w:val="20"/>
          <w:szCs w:val="20"/>
        </w:rPr>
        <w:t>Επιχειρηματικότητα 360</w:t>
      </w:r>
      <w:r w:rsidRPr="004635EF">
        <w:rPr>
          <w:rFonts w:ascii="Century Gothic" w:hAnsi="Century Gothic"/>
          <w:b/>
          <w:iCs/>
          <w:sz w:val="20"/>
          <w:szCs w:val="20"/>
        </w:rPr>
        <w:t>”</w:t>
      </w:r>
      <w:r w:rsidRPr="004635EF">
        <w:rPr>
          <w:rFonts w:ascii="Century Gothic" w:hAnsi="Century Gothic"/>
          <w:bCs/>
          <w:iCs/>
          <w:sz w:val="20"/>
          <w:szCs w:val="20"/>
        </w:rPr>
        <w:t xml:space="preserve"> </w:t>
      </w:r>
      <w:r w:rsidRPr="004635EF">
        <w:rPr>
          <w:rFonts w:ascii="Century Gothic" w:hAnsi="Century Gothic"/>
          <w:iCs/>
          <w:sz w:val="20"/>
          <w:szCs w:val="20"/>
        </w:rPr>
        <w:t xml:space="preserve">αποτελεί καθεστώς του νέου Αναπτυξιακού Νόμου </w:t>
      </w:r>
      <w:r w:rsidR="00EC52D2" w:rsidRPr="004635EF">
        <w:rPr>
          <w:rFonts w:ascii="Century Gothic" w:hAnsi="Century Gothic"/>
          <w:iCs/>
          <w:sz w:val="20"/>
          <w:szCs w:val="20"/>
        </w:rPr>
        <w:t xml:space="preserve">4887/2022 </w:t>
      </w:r>
      <w:r w:rsidRPr="004635EF">
        <w:rPr>
          <w:rFonts w:ascii="Century Gothic" w:hAnsi="Century Gothic"/>
          <w:iCs/>
          <w:sz w:val="20"/>
          <w:szCs w:val="20"/>
        </w:rPr>
        <w:t>στο οποίο μπο</w:t>
      </w:r>
      <w:r w:rsidR="007B6BD1" w:rsidRPr="004635EF">
        <w:rPr>
          <w:rFonts w:ascii="Century Gothic" w:hAnsi="Century Gothic"/>
          <w:iCs/>
          <w:sz w:val="20"/>
          <w:szCs w:val="20"/>
        </w:rPr>
        <w:t>ρεί να υπαχθεί το σύνολο των νομικών οντοτήτων με κάποιες εξαιρέσεις.</w:t>
      </w:r>
    </w:p>
    <w:p w14:paraId="42A5F1CC" w14:textId="2FB3CDBA" w:rsidR="002A59C6" w:rsidRPr="004635EF" w:rsidRDefault="002A59C6" w:rsidP="00624607">
      <w:pPr>
        <w:spacing w:after="120"/>
        <w:jc w:val="both"/>
        <w:rPr>
          <w:rFonts w:ascii="Century Gothic" w:hAnsi="Century Gothic"/>
          <w:iCs/>
          <w:sz w:val="20"/>
          <w:szCs w:val="20"/>
        </w:rPr>
      </w:pPr>
    </w:p>
    <w:p w14:paraId="14B91019" w14:textId="78365C81" w:rsidR="008A5CC2" w:rsidRPr="004635EF" w:rsidRDefault="00A74800" w:rsidP="00624607">
      <w:pPr>
        <w:spacing w:after="120"/>
        <w:jc w:val="both"/>
        <w:rPr>
          <w:rFonts w:ascii="Century Gothic" w:hAnsi="Century Gothic"/>
          <w:b/>
          <w:iCs/>
          <w:sz w:val="20"/>
          <w:szCs w:val="20"/>
        </w:rPr>
      </w:pPr>
      <w:r w:rsidRPr="004635EF">
        <w:rPr>
          <w:rFonts w:ascii="Century Gothic" w:hAnsi="Century Gothic"/>
          <w:b/>
          <w:iCs/>
          <w:sz w:val="20"/>
          <w:szCs w:val="20"/>
        </w:rPr>
        <w:t>ΓΕΝΙΚΕΣ ΕΠΙΣΗΜΑΝΣΕΙΣ</w:t>
      </w:r>
    </w:p>
    <w:p w14:paraId="2BF53BAC" w14:textId="77777777" w:rsidR="00B574A6" w:rsidRDefault="008D6A05" w:rsidP="00624607">
      <w:pPr>
        <w:spacing w:after="120"/>
        <w:jc w:val="both"/>
        <w:rPr>
          <w:rFonts w:ascii="Century Gothic" w:hAnsi="Century Gothic"/>
          <w:iCs/>
          <w:sz w:val="20"/>
          <w:szCs w:val="20"/>
        </w:rPr>
      </w:pPr>
      <w:r w:rsidRPr="004635EF">
        <w:rPr>
          <w:rFonts w:ascii="Century Gothic" w:hAnsi="Century Gothic"/>
          <w:iCs/>
          <w:sz w:val="20"/>
          <w:szCs w:val="20"/>
        </w:rPr>
        <w:t xml:space="preserve">Η </w:t>
      </w:r>
      <w:r w:rsidRPr="004635EF">
        <w:rPr>
          <w:rFonts w:ascii="Century Gothic" w:hAnsi="Century Gothic"/>
          <w:b/>
          <w:bCs/>
          <w:iCs/>
          <w:sz w:val="20"/>
          <w:szCs w:val="20"/>
        </w:rPr>
        <w:t>συμμετοχή του φορέα</w:t>
      </w:r>
      <w:r w:rsidRPr="004635EF">
        <w:rPr>
          <w:rFonts w:ascii="Century Gothic" w:hAnsi="Century Gothic"/>
          <w:iCs/>
          <w:sz w:val="20"/>
          <w:szCs w:val="20"/>
        </w:rPr>
        <w:t xml:space="preserve"> στο συνολικό επιλέξιμο κόστος του επενδυτικού σχεδίου μπορεί να γίνει είτε μέσω ιδίων κεφαλαίων</w:t>
      </w:r>
      <w:r w:rsidR="00661BB0" w:rsidRPr="004635EF">
        <w:rPr>
          <w:rFonts w:ascii="Century Gothic" w:hAnsi="Century Gothic"/>
          <w:iCs/>
          <w:sz w:val="20"/>
          <w:szCs w:val="20"/>
        </w:rPr>
        <w:t xml:space="preserve">, </w:t>
      </w:r>
      <w:r w:rsidRPr="004635EF">
        <w:rPr>
          <w:rFonts w:ascii="Century Gothic" w:hAnsi="Century Gothic"/>
          <w:iCs/>
          <w:sz w:val="20"/>
          <w:szCs w:val="20"/>
        </w:rPr>
        <w:t>με εξωτερική χρηματοδότηση</w:t>
      </w:r>
      <w:r w:rsidR="00661BB0" w:rsidRPr="004635EF">
        <w:rPr>
          <w:rFonts w:ascii="Century Gothic" w:hAnsi="Century Gothic"/>
          <w:iCs/>
          <w:sz w:val="20"/>
          <w:szCs w:val="20"/>
        </w:rPr>
        <w:t>, είτε με συνδυασμό των δύο παραπάνω (μικτό χρηματοδοτικό σχήμα)</w:t>
      </w:r>
      <w:r w:rsidRPr="004635EF">
        <w:rPr>
          <w:rFonts w:ascii="Century Gothic" w:hAnsi="Century Gothic"/>
          <w:iCs/>
          <w:sz w:val="20"/>
          <w:szCs w:val="20"/>
        </w:rPr>
        <w:t xml:space="preserve"> με την προϋπόθεση ότι το είκοσι πέντε τοις εκατό </w:t>
      </w:r>
      <w:r w:rsidRPr="004635EF">
        <w:rPr>
          <w:rFonts w:ascii="Century Gothic" w:hAnsi="Century Gothic"/>
          <w:b/>
          <w:bCs/>
          <w:iCs/>
          <w:sz w:val="20"/>
          <w:szCs w:val="20"/>
        </w:rPr>
        <w:t>(25%)</w:t>
      </w:r>
      <w:r w:rsidRPr="004635EF">
        <w:rPr>
          <w:rFonts w:ascii="Century Gothic" w:hAnsi="Century Gothic"/>
          <w:iCs/>
          <w:sz w:val="20"/>
          <w:szCs w:val="20"/>
        </w:rPr>
        <w:t xml:space="preserve"> αυτού δεν περιέχει καμία κρατική ενίσχυση, δημόσια στήριξη ή παροχή</w:t>
      </w:r>
      <w:r w:rsidR="00BC1039" w:rsidRPr="004635EF">
        <w:rPr>
          <w:rFonts w:ascii="Century Gothic" w:hAnsi="Century Gothic"/>
          <w:iCs/>
          <w:sz w:val="20"/>
          <w:szCs w:val="20"/>
        </w:rPr>
        <w:t xml:space="preserve">. </w:t>
      </w:r>
    </w:p>
    <w:p w14:paraId="44A346E0" w14:textId="77777777" w:rsidR="00B574A6" w:rsidRDefault="00B574A6" w:rsidP="00624607">
      <w:pPr>
        <w:spacing w:after="120"/>
        <w:jc w:val="both"/>
        <w:rPr>
          <w:rFonts w:ascii="Century Gothic" w:hAnsi="Century Gothic"/>
          <w:iCs/>
          <w:sz w:val="20"/>
          <w:szCs w:val="20"/>
        </w:rPr>
      </w:pPr>
    </w:p>
    <w:p w14:paraId="198C746A" w14:textId="79FEF253" w:rsidR="001730B8" w:rsidRPr="004635EF" w:rsidRDefault="00BC1039" w:rsidP="00624607">
      <w:pPr>
        <w:spacing w:after="120"/>
        <w:jc w:val="both"/>
        <w:rPr>
          <w:rFonts w:ascii="Century Gothic" w:hAnsi="Century Gothic"/>
          <w:iCs/>
          <w:sz w:val="20"/>
          <w:szCs w:val="20"/>
        </w:rPr>
      </w:pPr>
      <w:r w:rsidRPr="004635EF">
        <w:rPr>
          <w:rFonts w:ascii="Century Gothic" w:hAnsi="Century Gothic"/>
          <w:iCs/>
          <w:sz w:val="20"/>
          <w:szCs w:val="20"/>
        </w:rPr>
        <w:t>Οι αποδεκτοί τρόποι κάλυψης του ενισχυόμενου κόστους του επενδυτικού σχεδίου είναι οι εξής:</w:t>
      </w:r>
    </w:p>
    <w:p w14:paraId="18D131AF" w14:textId="20689876" w:rsidR="009F5CBC" w:rsidRPr="004635EF" w:rsidRDefault="009F5CBC" w:rsidP="00624607">
      <w:pPr>
        <w:spacing w:after="120"/>
        <w:jc w:val="both"/>
        <w:rPr>
          <w:rFonts w:ascii="Century Gothic" w:hAnsi="Century Gothic"/>
          <w:iCs/>
          <w:sz w:val="20"/>
          <w:szCs w:val="20"/>
        </w:rPr>
      </w:pPr>
      <w:r w:rsidRPr="004635EF">
        <w:rPr>
          <w:rFonts w:ascii="Century Gothic" w:hAnsi="Century Gothic"/>
          <w:iCs/>
          <w:sz w:val="20"/>
          <w:szCs w:val="20"/>
        </w:rPr>
        <w:t xml:space="preserve">α. αύξηση του μετοχικού ή εταιρικού κεφαλαίου του φορέα της επενδυτικού σχεδίου από </w:t>
      </w:r>
      <w:r w:rsidRPr="004635EF">
        <w:rPr>
          <w:rFonts w:ascii="Century Gothic" w:hAnsi="Century Gothic"/>
          <w:b/>
          <w:bCs/>
          <w:iCs/>
          <w:sz w:val="20"/>
          <w:szCs w:val="20"/>
        </w:rPr>
        <w:t>νέες εισφορές σε μετρητά εταίρων</w:t>
      </w:r>
      <w:r w:rsidR="00661BB0" w:rsidRPr="004635EF">
        <w:rPr>
          <w:rFonts w:ascii="Century Gothic" w:hAnsi="Century Gothic"/>
          <w:b/>
          <w:bCs/>
          <w:iCs/>
          <w:sz w:val="20"/>
          <w:szCs w:val="20"/>
        </w:rPr>
        <w:t xml:space="preserve"> (προσωπικούς λογαριασμούς)</w:t>
      </w:r>
      <w:r w:rsidRPr="004635EF">
        <w:rPr>
          <w:rFonts w:ascii="Century Gothic" w:hAnsi="Century Gothic"/>
          <w:iCs/>
          <w:sz w:val="20"/>
          <w:szCs w:val="20"/>
        </w:rPr>
        <w:t>.</w:t>
      </w:r>
    </w:p>
    <w:p w14:paraId="74C6744A" w14:textId="1C229D1D" w:rsidR="009F5CBC" w:rsidRPr="004635EF" w:rsidRDefault="009F5CBC" w:rsidP="00624607">
      <w:pPr>
        <w:spacing w:after="120"/>
        <w:jc w:val="both"/>
        <w:rPr>
          <w:rFonts w:ascii="Century Gothic" w:hAnsi="Century Gothic"/>
          <w:iCs/>
          <w:sz w:val="20"/>
          <w:szCs w:val="20"/>
        </w:rPr>
      </w:pPr>
      <w:r w:rsidRPr="004635EF">
        <w:rPr>
          <w:rFonts w:ascii="Century Gothic" w:hAnsi="Century Gothic"/>
          <w:iCs/>
          <w:sz w:val="20"/>
          <w:szCs w:val="20"/>
        </w:rPr>
        <w:t xml:space="preserve">β. αύξηση του μετοχικού ή εταιρικού κεφαλαίου του φορέα του επενδυτικού σχεδίου με </w:t>
      </w:r>
      <w:r w:rsidRPr="004635EF">
        <w:rPr>
          <w:rFonts w:ascii="Century Gothic" w:hAnsi="Century Gothic"/>
          <w:b/>
          <w:bCs/>
          <w:iCs/>
          <w:sz w:val="20"/>
          <w:szCs w:val="20"/>
        </w:rPr>
        <w:t>κεφαλαιοποίηση υφιστάμενων φορολογηθέντων αποθεματικών και κερδών εις νέον</w:t>
      </w:r>
      <w:r w:rsidRPr="004635EF">
        <w:rPr>
          <w:rFonts w:ascii="Century Gothic" w:hAnsi="Century Gothic"/>
          <w:iCs/>
          <w:sz w:val="20"/>
          <w:szCs w:val="20"/>
        </w:rPr>
        <w:t>.</w:t>
      </w:r>
    </w:p>
    <w:p w14:paraId="1754B34F" w14:textId="76F21E86" w:rsidR="009F5CBC" w:rsidRPr="004635EF" w:rsidRDefault="009F5CBC" w:rsidP="00624607">
      <w:pPr>
        <w:spacing w:after="120"/>
        <w:jc w:val="both"/>
        <w:rPr>
          <w:rFonts w:ascii="Century Gothic" w:hAnsi="Century Gothic"/>
          <w:iCs/>
          <w:sz w:val="20"/>
          <w:szCs w:val="20"/>
        </w:rPr>
      </w:pPr>
      <w:r w:rsidRPr="004635EF">
        <w:rPr>
          <w:rFonts w:ascii="Century Gothic" w:hAnsi="Century Gothic"/>
          <w:iCs/>
          <w:sz w:val="20"/>
          <w:szCs w:val="20"/>
        </w:rPr>
        <w:t xml:space="preserve">γ. </w:t>
      </w:r>
      <w:r w:rsidRPr="004635EF">
        <w:rPr>
          <w:rFonts w:ascii="Century Gothic" w:hAnsi="Century Gothic"/>
          <w:b/>
          <w:bCs/>
          <w:iCs/>
          <w:sz w:val="20"/>
          <w:szCs w:val="20"/>
        </w:rPr>
        <w:t>ανάλωση υφιστάμενων φορολογηθέντων αποθεματικών</w:t>
      </w:r>
      <w:r w:rsidRPr="004635EF">
        <w:rPr>
          <w:rFonts w:ascii="Century Gothic" w:hAnsi="Century Gothic"/>
          <w:iCs/>
          <w:sz w:val="20"/>
          <w:szCs w:val="20"/>
        </w:rPr>
        <w:t xml:space="preserve"> και </w:t>
      </w:r>
      <w:r w:rsidRPr="004635EF">
        <w:rPr>
          <w:rFonts w:ascii="Century Gothic" w:hAnsi="Century Gothic"/>
          <w:b/>
          <w:bCs/>
          <w:iCs/>
          <w:sz w:val="20"/>
          <w:szCs w:val="20"/>
        </w:rPr>
        <w:t>κερδών εις νέον</w:t>
      </w:r>
      <w:r w:rsidRPr="004635EF">
        <w:rPr>
          <w:rFonts w:ascii="Century Gothic" w:hAnsi="Century Gothic"/>
          <w:iCs/>
          <w:sz w:val="20"/>
          <w:szCs w:val="20"/>
        </w:rPr>
        <w:t>.</w:t>
      </w:r>
    </w:p>
    <w:p w14:paraId="13D606C5" w14:textId="50523D32" w:rsidR="00134952" w:rsidRPr="004635EF" w:rsidRDefault="00134952" w:rsidP="00624607">
      <w:pPr>
        <w:spacing w:after="120"/>
        <w:jc w:val="both"/>
        <w:rPr>
          <w:rFonts w:ascii="Century Gothic" w:hAnsi="Century Gothic"/>
          <w:iCs/>
          <w:sz w:val="20"/>
          <w:szCs w:val="20"/>
        </w:rPr>
      </w:pPr>
      <w:r w:rsidRPr="004635EF">
        <w:rPr>
          <w:rFonts w:ascii="Century Gothic" w:hAnsi="Century Gothic"/>
          <w:iCs/>
          <w:sz w:val="20"/>
          <w:szCs w:val="20"/>
        </w:rPr>
        <w:t>δ</w:t>
      </w:r>
      <w:r w:rsidR="009F5CBC" w:rsidRPr="004635EF">
        <w:rPr>
          <w:rFonts w:ascii="Century Gothic" w:hAnsi="Century Gothic"/>
          <w:iCs/>
          <w:sz w:val="20"/>
          <w:szCs w:val="20"/>
        </w:rPr>
        <w:t>.</w:t>
      </w:r>
      <w:r w:rsidR="009900F7" w:rsidRPr="004635EF">
        <w:rPr>
          <w:rFonts w:ascii="Century Gothic" w:hAnsi="Century Gothic"/>
          <w:iCs/>
          <w:sz w:val="20"/>
          <w:szCs w:val="20"/>
        </w:rPr>
        <w:t xml:space="preserve"> </w:t>
      </w:r>
      <w:r w:rsidR="009F5CBC" w:rsidRPr="004635EF">
        <w:rPr>
          <w:rFonts w:ascii="Century Gothic" w:hAnsi="Century Gothic"/>
          <w:iCs/>
          <w:sz w:val="20"/>
          <w:szCs w:val="20"/>
        </w:rPr>
        <w:t xml:space="preserve">τραπεζικό </w:t>
      </w:r>
      <w:r w:rsidR="009F5CBC" w:rsidRPr="004635EF">
        <w:rPr>
          <w:rFonts w:ascii="Century Gothic" w:hAnsi="Century Gothic"/>
          <w:b/>
          <w:bCs/>
          <w:iCs/>
          <w:sz w:val="20"/>
          <w:szCs w:val="20"/>
        </w:rPr>
        <w:t>δάνειο</w:t>
      </w:r>
      <w:r w:rsidR="009F5CBC" w:rsidRPr="004635EF">
        <w:rPr>
          <w:rFonts w:ascii="Century Gothic" w:hAnsi="Century Gothic"/>
          <w:iCs/>
          <w:sz w:val="20"/>
          <w:szCs w:val="20"/>
        </w:rPr>
        <w:t xml:space="preserve"> ή δάνειο από άλλους χρηματοδοτικούς οργανισμούς ή ομολογιακό δάνειο εκδιδόμενο με δημόσια ή μη εγγραφή, </w:t>
      </w:r>
      <w:r w:rsidR="009F5CBC" w:rsidRPr="004635EF">
        <w:rPr>
          <w:rFonts w:ascii="Century Gothic" w:hAnsi="Century Gothic"/>
          <w:b/>
          <w:bCs/>
          <w:iCs/>
          <w:sz w:val="20"/>
          <w:szCs w:val="20"/>
        </w:rPr>
        <w:t>τριετούς τουλάχιστον διάρκειας</w:t>
      </w:r>
      <w:r w:rsidR="009F5CBC" w:rsidRPr="004635EF">
        <w:rPr>
          <w:rFonts w:ascii="Century Gothic" w:hAnsi="Century Gothic"/>
          <w:iCs/>
          <w:sz w:val="20"/>
          <w:szCs w:val="20"/>
        </w:rPr>
        <w:t>, αποκλειόμενης της μορφής του αλληλόχρεου λογαριασμού.</w:t>
      </w:r>
    </w:p>
    <w:p w14:paraId="3A753378" w14:textId="03B3C324" w:rsidR="004E5EDB" w:rsidRPr="004635EF" w:rsidRDefault="004E5EDB" w:rsidP="00624607">
      <w:pPr>
        <w:spacing w:after="120"/>
        <w:jc w:val="both"/>
        <w:rPr>
          <w:rFonts w:ascii="Century Gothic" w:hAnsi="Century Gothic"/>
          <w:iCs/>
          <w:sz w:val="20"/>
          <w:szCs w:val="20"/>
        </w:rPr>
      </w:pPr>
      <w:r w:rsidRPr="004635EF">
        <w:rPr>
          <w:rFonts w:ascii="Century Gothic" w:hAnsi="Century Gothic"/>
          <w:iCs/>
          <w:sz w:val="20"/>
          <w:szCs w:val="20"/>
        </w:rPr>
        <w:t xml:space="preserve">Το </w:t>
      </w:r>
      <w:r w:rsidRPr="004635EF">
        <w:rPr>
          <w:rFonts w:ascii="Century Gothic" w:hAnsi="Century Gothic"/>
          <w:b/>
          <w:iCs/>
          <w:sz w:val="20"/>
          <w:szCs w:val="20"/>
        </w:rPr>
        <w:t>ελάχιστο ύψος επένδυσης</w:t>
      </w:r>
      <w:r w:rsidRPr="004635EF">
        <w:rPr>
          <w:rFonts w:ascii="Century Gothic" w:hAnsi="Century Gothic"/>
          <w:iCs/>
          <w:sz w:val="20"/>
          <w:szCs w:val="20"/>
        </w:rPr>
        <w:t xml:space="preserve"> ορίζεται στις:</w:t>
      </w:r>
    </w:p>
    <w:p w14:paraId="50CEFA94" w14:textId="1134220C" w:rsidR="00134952" w:rsidRPr="004635EF" w:rsidRDefault="00134952" w:rsidP="00624607">
      <w:pPr>
        <w:pStyle w:val="a3"/>
        <w:numPr>
          <w:ilvl w:val="0"/>
          <w:numId w:val="1"/>
        </w:numPr>
        <w:spacing w:after="120"/>
        <w:jc w:val="both"/>
        <w:rPr>
          <w:rFonts w:ascii="Century Gothic" w:hAnsi="Century Gothic"/>
          <w:iCs/>
          <w:sz w:val="20"/>
          <w:szCs w:val="20"/>
        </w:rPr>
      </w:pPr>
      <w:r w:rsidRPr="004635EF">
        <w:rPr>
          <w:rFonts w:ascii="Century Gothic" w:hAnsi="Century Gothic"/>
          <w:iCs/>
          <w:sz w:val="20"/>
          <w:szCs w:val="20"/>
        </w:rPr>
        <w:t xml:space="preserve">50.000 για </w:t>
      </w:r>
      <w:proofErr w:type="spellStart"/>
      <w:r w:rsidRPr="004635EF">
        <w:rPr>
          <w:rFonts w:ascii="Century Gothic" w:hAnsi="Century Gothic"/>
          <w:iCs/>
          <w:sz w:val="20"/>
          <w:szCs w:val="20"/>
        </w:rPr>
        <w:t>ΚοινΣΕΠ</w:t>
      </w:r>
      <w:proofErr w:type="spellEnd"/>
      <w:r w:rsidRPr="004635EF">
        <w:rPr>
          <w:rFonts w:ascii="Century Gothic" w:hAnsi="Century Gothic"/>
          <w:iCs/>
          <w:sz w:val="20"/>
          <w:szCs w:val="20"/>
        </w:rPr>
        <w:t xml:space="preserve"> κλπ.</w:t>
      </w:r>
    </w:p>
    <w:p w14:paraId="72A55C4B" w14:textId="14CE7E46" w:rsidR="004E5EDB" w:rsidRPr="004635EF" w:rsidRDefault="004E5EDB" w:rsidP="00624607">
      <w:pPr>
        <w:pStyle w:val="a3"/>
        <w:numPr>
          <w:ilvl w:val="0"/>
          <w:numId w:val="1"/>
        </w:numPr>
        <w:spacing w:after="120"/>
        <w:jc w:val="both"/>
        <w:rPr>
          <w:rFonts w:ascii="Century Gothic" w:hAnsi="Century Gothic"/>
          <w:iCs/>
          <w:sz w:val="20"/>
          <w:szCs w:val="20"/>
        </w:rPr>
      </w:pPr>
      <w:r w:rsidRPr="004635EF">
        <w:rPr>
          <w:rFonts w:ascii="Century Gothic" w:hAnsi="Century Gothic"/>
          <w:iCs/>
          <w:sz w:val="20"/>
          <w:szCs w:val="20"/>
        </w:rPr>
        <w:t>1</w:t>
      </w:r>
      <w:r w:rsidR="00134952" w:rsidRPr="004635EF">
        <w:rPr>
          <w:rFonts w:ascii="Century Gothic" w:hAnsi="Century Gothic"/>
          <w:iCs/>
          <w:sz w:val="20"/>
          <w:szCs w:val="20"/>
        </w:rPr>
        <w:t>0</w:t>
      </w:r>
      <w:r w:rsidRPr="004635EF">
        <w:rPr>
          <w:rFonts w:ascii="Century Gothic" w:hAnsi="Century Gothic"/>
          <w:iCs/>
          <w:sz w:val="20"/>
          <w:szCs w:val="20"/>
        </w:rPr>
        <w:t>0.000</w:t>
      </w:r>
      <w:r w:rsidR="007D0A93" w:rsidRPr="004635EF">
        <w:rPr>
          <w:rFonts w:ascii="Century Gothic" w:hAnsi="Century Gothic"/>
          <w:iCs/>
          <w:sz w:val="20"/>
          <w:szCs w:val="20"/>
        </w:rPr>
        <w:t xml:space="preserve"> </w:t>
      </w:r>
      <w:r w:rsidRPr="004635EF">
        <w:rPr>
          <w:rFonts w:ascii="Century Gothic" w:hAnsi="Century Gothic"/>
          <w:iCs/>
          <w:sz w:val="20"/>
          <w:szCs w:val="20"/>
        </w:rPr>
        <w:t>€ για</w:t>
      </w:r>
      <w:r w:rsidR="00134952" w:rsidRPr="004635EF">
        <w:rPr>
          <w:rFonts w:ascii="Century Gothic" w:hAnsi="Century Gothic"/>
          <w:iCs/>
          <w:sz w:val="20"/>
          <w:szCs w:val="20"/>
        </w:rPr>
        <w:t xml:space="preserve"> πολύ</w:t>
      </w:r>
      <w:r w:rsidRPr="004635EF">
        <w:rPr>
          <w:rFonts w:ascii="Century Gothic" w:hAnsi="Century Gothic"/>
          <w:iCs/>
          <w:sz w:val="20"/>
          <w:szCs w:val="20"/>
        </w:rPr>
        <w:t xml:space="preserve"> μικρές επιχειρήσεις</w:t>
      </w:r>
    </w:p>
    <w:p w14:paraId="4CD2B0CA" w14:textId="0635A39E" w:rsidR="004E5EDB" w:rsidRPr="004635EF" w:rsidRDefault="00134952" w:rsidP="00624607">
      <w:pPr>
        <w:pStyle w:val="a3"/>
        <w:numPr>
          <w:ilvl w:val="0"/>
          <w:numId w:val="1"/>
        </w:numPr>
        <w:spacing w:after="120"/>
        <w:jc w:val="both"/>
        <w:rPr>
          <w:rFonts w:ascii="Century Gothic" w:hAnsi="Century Gothic"/>
          <w:iCs/>
          <w:sz w:val="20"/>
          <w:szCs w:val="20"/>
        </w:rPr>
      </w:pPr>
      <w:r w:rsidRPr="004635EF">
        <w:rPr>
          <w:rFonts w:ascii="Century Gothic" w:hAnsi="Century Gothic"/>
          <w:iCs/>
          <w:sz w:val="20"/>
          <w:szCs w:val="20"/>
        </w:rPr>
        <w:t>25</w:t>
      </w:r>
      <w:r w:rsidR="004E5EDB" w:rsidRPr="004635EF">
        <w:rPr>
          <w:rFonts w:ascii="Century Gothic" w:hAnsi="Century Gothic"/>
          <w:iCs/>
          <w:sz w:val="20"/>
          <w:szCs w:val="20"/>
        </w:rPr>
        <w:t>0.000</w:t>
      </w:r>
      <w:r w:rsidR="007D0A93" w:rsidRPr="004635EF">
        <w:rPr>
          <w:rFonts w:ascii="Century Gothic" w:hAnsi="Century Gothic"/>
          <w:iCs/>
          <w:sz w:val="20"/>
          <w:szCs w:val="20"/>
        </w:rPr>
        <w:t xml:space="preserve"> </w:t>
      </w:r>
      <w:r w:rsidR="004E5EDB" w:rsidRPr="004635EF">
        <w:rPr>
          <w:rFonts w:ascii="Century Gothic" w:hAnsi="Century Gothic"/>
          <w:iCs/>
          <w:sz w:val="20"/>
          <w:szCs w:val="20"/>
        </w:rPr>
        <w:t>€ για μικρές επιχειρήσεις</w:t>
      </w:r>
    </w:p>
    <w:p w14:paraId="49D525DA" w14:textId="2A43BD2F" w:rsidR="004E5EDB" w:rsidRPr="004635EF" w:rsidRDefault="004E5EDB" w:rsidP="00624607">
      <w:pPr>
        <w:pStyle w:val="a3"/>
        <w:numPr>
          <w:ilvl w:val="0"/>
          <w:numId w:val="1"/>
        </w:numPr>
        <w:spacing w:after="120"/>
        <w:jc w:val="both"/>
        <w:rPr>
          <w:rFonts w:ascii="Century Gothic" w:hAnsi="Century Gothic"/>
          <w:iCs/>
          <w:sz w:val="20"/>
          <w:szCs w:val="20"/>
        </w:rPr>
      </w:pPr>
      <w:r w:rsidRPr="004635EF">
        <w:rPr>
          <w:rFonts w:ascii="Century Gothic" w:hAnsi="Century Gothic"/>
          <w:iCs/>
          <w:sz w:val="20"/>
          <w:szCs w:val="20"/>
        </w:rPr>
        <w:t>5</w:t>
      </w:r>
      <w:r w:rsidR="00134952" w:rsidRPr="004635EF">
        <w:rPr>
          <w:rFonts w:ascii="Century Gothic" w:hAnsi="Century Gothic"/>
          <w:iCs/>
          <w:sz w:val="20"/>
          <w:szCs w:val="20"/>
        </w:rPr>
        <w:t>0</w:t>
      </w:r>
      <w:r w:rsidRPr="004635EF">
        <w:rPr>
          <w:rFonts w:ascii="Century Gothic" w:hAnsi="Century Gothic"/>
          <w:iCs/>
          <w:sz w:val="20"/>
          <w:szCs w:val="20"/>
        </w:rPr>
        <w:t>0.000</w:t>
      </w:r>
      <w:r w:rsidR="007D0A93" w:rsidRPr="004635EF">
        <w:rPr>
          <w:rFonts w:ascii="Century Gothic" w:hAnsi="Century Gothic"/>
          <w:iCs/>
          <w:sz w:val="20"/>
          <w:szCs w:val="20"/>
        </w:rPr>
        <w:t xml:space="preserve"> </w:t>
      </w:r>
      <w:r w:rsidRPr="004635EF">
        <w:rPr>
          <w:rFonts w:ascii="Century Gothic" w:hAnsi="Century Gothic"/>
          <w:iCs/>
          <w:sz w:val="20"/>
          <w:szCs w:val="20"/>
        </w:rPr>
        <w:t xml:space="preserve">€ για </w:t>
      </w:r>
      <w:r w:rsidR="00134952" w:rsidRPr="004635EF">
        <w:rPr>
          <w:rFonts w:ascii="Century Gothic" w:hAnsi="Century Gothic"/>
          <w:iCs/>
          <w:sz w:val="20"/>
          <w:szCs w:val="20"/>
        </w:rPr>
        <w:t>Μεσαίες</w:t>
      </w:r>
    </w:p>
    <w:p w14:paraId="03BD7617" w14:textId="2CBF5140" w:rsidR="00134952" w:rsidRPr="004635EF" w:rsidRDefault="00134952" w:rsidP="00624607">
      <w:pPr>
        <w:pStyle w:val="a3"/>
        <w:numPr>
          <w:ilvl w:val="0"/>
          <w:numId w:val="1"/>
        </w:numPr>
        <w:spacing w:after="120"/>
        <w:jc w:val="both"/>
        <w:rPr>
          <w:rFonts w:ascii="Century Gothic" w:hAnsi="Century Gothic"/>
          <w:iCs/>
          <w:sz w:val="20"/>
          <w:szCs w:val="20"/>
        </w:rPr>
      </w:pPr>
      <w:r w:rsidRPr="004635EF">
        <w:rPr>
          <w:rFonts w:ascii="Century Gothic" w:hAnsi="Century Gothic"/>
          <w:iCs/>
          <w:sz w:val="20"/>
          <w:szCs w:val="20"/>
        </w:rPr>
        <w:t>1.000.000 € για μεγάλες επιχειρήσεις</w:t>
      </w:r>
    </w:p>
    <w:p w14:paraId="486AF17B" w14:textId="77777777" w:rsidR="00AC4D44"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lastRenderedPageBreak/>
        <w:t>Το συνολικό ποσό ενίσχυσης ανά επενδυτικό σχέδιο που υποβάλλεται από πολύ μικρές και μικρές επιχειρήσεις δεν μπορεί να υπερβεί τα τρία εκατομμύρια ευρώ (3.000.000€) για όλα τα είδη ενισχύσεων, ήτοι της επιχορήγησης ή της φορολογικής απαλλαγής ή της επιδότησης της χρηματοδοτικής μίσθωσης ή της επιδότησης του κόστους της δημιουργούμενης απασχόλησης.</w:t>
      </w:r>
    </w:p>
    <w:p w14:paraId="49BED4B3" w14:textId="77777777" w:rsidR="00AC4D44"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t xml:space="preserve">Το συνολικό ποσό ενίσχυσης ανά επενδυτικό σχέδιο που υποβάλλεται από μεσαίες και μεγάλες επιχειρήσεις δεν μπορεί να υπερβεί: ι) τα τρία εκατομμύρια ευρώ (3.000.000€) για τις ενισχύσεις της επιδότησης χρηματοδοτικής μίσθωσης ή της επιδότησης του κόστους της δημιουργούμενης απασχόλησης και </w:t>
      </w:r>
      <w:proofErr w:type="spellStart"/>
      <w:r w:rsidRPr="004635EF">
        <w:rPr>
          <w:rFonts w:ascii="Century Gothic" w:hAnsi="Century Gothic"/>
          <w:iCs/>
          <w:sz w:val="20"/>
          <w:szCs w:val="20"/>
        </w:rPr>
        <w:t>ιι</w:t>
      </w:r>
      <w:proofErr w:type="spellEnd"/>
      <w:r w:rsidRPr="004635EF">
        <w:rPr>
          <w:rFonts w:ascii="Century Gothic" w:hAnsi="Century Gothic"/>
          <w:iCs/>
          <w:sz w:val="20"/>
          <w:szCs w:val="20"/>
        </w:rPr>
        <w:t>) τα πέντε εκατομμύρια ευρώ (5.000.000€) για την ενίσχυση της φορολογικής απαλλαγής.</w:t>
      </w:r>
    </w:p>
    <w:p w14:paraId="7EE2A4FC" w14:textId="77777777" w:rsidR="00AC4D44"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t>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είκοσι εκατομμύρια (20.000.000) ευρώ για μεμονωμένη επιχείρηση και τα τριάντα εκατομμύρια (30.000.000) ευρώ για το σύνολο των συνεργαζόμενων ή συνδεδεμένων επιχειρήσεων.</w:t>
      </w:r>
    </w:p>
    <w:p w14:paraId="29F2809C" w14:textId="50419449" w:rsidR="004E5EDB" w:rsidRPr="004635EF" w:rsidRDefault="004E5EDB" w:rsidP="00624607">
      <w:pPr>
        <w:spacing w:after="120"/>
        <w:jc w:val="both"/>
        <w:rPr>
          <w:rFonts w:ascii="Century Gothic" w:hAnsi="Century Gothic"/>
          <w:iCs/>
          <w:sz w:val="20"/>
          <w:szCs w:val="20"/>
        </w:rPr>
      </w:pPr>
      <w:r w:rsidRPr="004635EF">
        <w:rPr>
          <w:rFonts w:ascii="Century Gothic" w:hAnsi="Century Gothic"/>
          <w:iCs/>
          <w:sz w:val="20"/>
          <w:szCs w:val="20"/>
        </w:rPr>
        <w:t xml:space="preserve">Το επενδυτικό σχέδιο </w:t>
      </w:r>
      <w:r w:rsidR="000017D3" w:rsidRPr="004635EF">
        <w:rPr>
          <w:rFonts w:ascii="Century Gothic" w:hAnsi="Century Gothic"/>
          <w:iCs/>
          <w:sz w:val="20"/>
          <w:szCs w:val="20"/>
        </w:rPr>
        <w:t xml:space="preserve">πρέπει </w:t>
      </w:r>
      <w:r w:rsidRPr="004635EF">
        <w:rPr>
          <w:rFonts w:ascii="Century Gothic" w:hAnsi="Century Gothic"/>
          <w:iCs/>
          <w:sz w:val="20"/>
          <w:szCs w:val="20"/>
        </w:rPr>
        <w:t xml:space="preserve">να έχει το </w:t>
      </w:r>
      <w:r w:rsidRPr="004635EF">
        <w:rPr>
          <w:rFonts w:ascii="Century Gothic" w:hAnsi="Century Gothic"/>
          <w:b/>
          <w:iCs/>
          <w:sz w:val="20"/>
          <w:szCs w:val="20"/>
        </w:rPr>
        <w:t>χαρακτήρα αρχικής επένδυσης</w:t>
      </w:r>
      <w:r w:rsidRPr="004635EF">
        <w:rPr>
          <w:rFonts w:ascii="Century Gothic" w:hAnsi="Century Gothic"/>
          <w:iCs/>
          <w:sz w:val="20"/>
          <w:szCs w:val="20"/>
        </w:rPr>
        <w:t>. Ως αρχική επένδυση ορίζεται η:</w:t>
      </w:r>
    </w:p>
    <w:p w14:paraId="573CACF3" w14:textId="77777777" w:rsidR="00AD4826" w:rsidRPr="004635EF" w:rsidRDefault="00AD4826" w:rsidP="00624607">
      <w:pPr>
        <w:pStyle w:val="a3"/>
        <w:numPr>
          <w:ilvl w:val="0"/>
          <w:numId w:val="2"/>
        </w:numPr>
        <w:spacing w:after="120"/>
        <w:jc w:val="both"/>
        <w:rPr>
          <w:rFonts w:ascii="Century Gothic" w:hAnsi="Century Gothic"/>
          <w:iCs/>
          <w:sz w:val="20"/>
          <w:szCs w:val="20"/>
        </w:rPr>
      </w:pPr>
      <w:r w:rsidRPr="004635EF">
        <w:rPr>
          <w:rFonts w:ascii="Century Gothic" w:hAnsi="Century Gothic"/>
          <w:iCs/>
          <w:sz w:val="20"/>
          <w:szCs w:val="20"/>
        </w:rPr>
        <w:t>Δημιουργία νέας μονάδας</w:t>
      </w:r>
    </w:p>
    <w:p w14:paraId="4DC3BCAB" w14:textId="77777777" w:rsidR="00AD4826" w:rsidRPr="004635EF" w:rsidRDefault="00AD4826" w:rsidP="00624607">
      <w:pPr>
        <w:pStyle w:val="a3"/>
        <w:numPr>
          <w:ilvl w:val="0"/>
          <w:numId w:val="2"/>
        </w:numPr>
        <w:spacing w:after="120"/>
        <w:jc w:val="both"/>
        <w:rPr>
          <w:rFonts w:ascii="Century Gothic" w:hAnsi="Century Gothic"/>
          <w:iCs/>
          <w:sz w:val="20"/>
          <w:szCs w:val="20"/>
        </w:rPr>
      </w:pPr>
      <w:r w:rsidRPr="004635EF">
        <w:rPr>
          <w:rFonts w:ascii="Century Gothic" w:hAnsi="Century Gothic"/>
          <w:iCs/>
          <w:sz w:val="20"/>
          <w:szCs w:val="20"/>
        </w:rPr>
        <w:t>Επέκταση υφιστάμενης δυναμικότητας</w:t>
      </w:r>
    </w:p>
    <w:p w14:paraId="6929D684" w14:textId="77777777" w:rsidR="00AD4826" w:rsidRPr="004635EF" w:rsidRDefault="00AD4826" w:rsidP="00624607">
      <w:pPr>
        <w:pStyle w:val="a3"/>
        <w:numPr>
          <w:ilvl w:val="0"/>
          <w:numId w:val="2"/>
        </w:numPr>
        <w:spacing w:after="120"/>
        <w:jc w:val="both"/>
        <w:rPr>
          <w:rFonts w:ascii="Century Gothic" w:hAnsi="Century Gothic"/>
          <w:iCs/>
          <w:sz w:val="20"/>
          <w:szCs w:val="20"/>
        </w:rPr>
      </w:pPr>
      <w:r w:rsidRPr="004635EF">
        <w:rPr>
          <w:rFonts w:ascii="Century Gothic" w:hAnsi="Century Gothic"/>
          <w:iCs/>
          <w:sz w:val="20"/>
          <w:szCs w:val="20"/>
        </w:rPr>
        <w:t>Διαφοροποίηση της παραγωγής σε προϊόντα ή υπηρεσίες που δεν έχουν παραχθεί ποτέ</w:t>
      </w:r>
    </w:p>
    <w:p w14:paraId="05178376" w14:textId="77777777" w:rsidR="00AD4826" w:rsidRPr="004635EF" w:rsidRDefault="00AD4826" w:rsidP="00624607">
      <w:pPr>
        <w:pStyle w:val="a3"/>
        <w:numPr>
          <w:ilvl w:val="0"/>
          <w:numId w:val="2"/>
        </w:numPr>
        <w:spacing w:after="120"/>
        <w:jc w:val="both"/>
        <w:rPr>
          <w:rFonts w:ascii="Century Gothic" w:hAnsi="Century Gothic"/>
          <w:iCs/>
          <w:sz w:val="20"/>
          <w:szCs w:val="20"/>
        </w:rPr>
      </w:pPr>
      <w:r w:rsidRPr="004635EF">
        <w:rPr>
          <w:rFonts w:ascii="Century Gothic" w:hAnsi="Century Gothic"/>
          <w:iCs/>
          <w:sz w:val="20"/>
          <w:szCs w:val="20"/>
        </w:rPr>
        <w:t>Θεμελιώδη αλλαγή της υφιστάμενης παραγωγικής διαδικασίας</w:t>
      </w:r>
    </w:p>
    <w:p w14:paraId="11498638" w14:textId="77777777" w:rsidR="004A2AC1" w:rsidRPr="004635EF" w:rsidRDefault="004A2AC1" w:rsidP="00624607">
      <w:pPr>
        <w:pStyle w:val="a3"/>
        <w:spacing w:after="120"/>
        <w:jc w:val="both"/>
        <w:rPr>
          <w:rFonts w:ascii="Century Gothic" w:hAnsi="Century Gothic"/>
          <w:iCs/>
          <w:sz w:val="20"/>
          <w:szCs w:val="20"/>
          <w:highlight w:val="yellow"/>
        </w:rPr>
      </w:pPr>
    </w:p>
    <w:p w14:paraId="4CAED328" w14:textId="77777777" w:rsidR="004E5EDB" w:rsidRPr="004635EF" w:rsidRDefault="004E5EDB" w:rsidP="00624607">
      <w:pPr>
        <w:spacing w:after="120"/>
        <w:jc w:val="both"/>
        <w:rPr>
          <w:rFonts w:ascii="Century Gothic" w:hAnsi="Century Gothic"/>
          <w:b/>
          <w:iCs/>
          <w:sz w:val="20"/>
          <w:szCs w:val="20"/>
        </w:rPr>
      </w:pPr>
      <w:r w:rsidRPr="004635EF">
        <w:rPr>
          <w:rFonts w:ascii="Century Gothic" w:hAnsi="Century Gothic"/>
          <w:b/>
          <w:iCs/>
          <w:sz w:val="20"/>
          <w:szCs w:val="20"/>
        </w:rPr>
        <w:t>ΔΙΚΑΙΟΥΧΟΙ ΥΠΑΓΟΜΕΝΩΝ ΕΠΕΝΔΥΤΙΚΩΝ ΣΧΕΔΙΩΝ</w:t>
      </w:r>
    </w:p>
    <w:p w14:paraId="69E783F0" w14:textId="77777777" w:rsidR="004E5EDB" w:rsidRPr="004635EF" w:rsidRDefault="004E5EDB" w:rsidP="00624607">
      <w:pPr>
        <w:spacing w:after="120"/>
        <w:jc w:val="both"/>
        <w:rPr>
          <w:rFonts w:ascii="Century Gothic" w:hAnsi="Century Gothic"/>
          <w:iCs/>
          <w:sz w:val="20"/>
          <w:szCs w:val="20"/>
        </w:rPr>
      </w:pPr>
      <w:r w:rsidRPr="004635EF">
        <w:rPr>
          <w:rFonts w:ascii="Century Gothic" w:hAnsi="Century Gothic"/>
          <w:iCs/>
          <w:sz w:val="20"/>
          <w:szCs w:val="20"/>
        </w:rPr>
        <w:t>Το σύνολο των εγκατεστημένων στην ελληνική επικράτεια επιχειρήσεων που έχουν μια από τις παρακάτω νομικές μορφές:</w:t>
      </w:r>
    </w:p>
    <w:p w14:paraId="0F48ECCC" w14:textId="77777777" w:rsidR="004E5EDB" w:rsidRPr="004635EF" w:rsidRDefault="004E5EDB" w:rsidP="00624607">
      <w:pPr>
        <w:pStyle w:val="a3"/>
        <w:numPr>
          <w:ilvl w:val="0"/>
          <w:numId w:val="3"/>
        </w:numPr>
        <w:spacing w:after="120"/>
        <w:jc w:val="both"/>
        <w:rPr>
          <w:rFonts w:ascii="Century Gothic" w:hAnsi="Century Gothic"/>
          <w:iCs/>
          <w:sz w:val="20"/>
          <w:szCs w:val="20"/>
        </w:rPr>
      </w:pPr>
      <w:r w:rsidRPr="004635EF">
        <w:rPr>
          <w:rFonts w:ascii="Century Gothic" w:hAnsi="Century Gothic"/>
          <w:iCs/>
          <w:sz w:val="20"/>
          <w:szCs w:val="20"/>
        </w:rPr>
        <w:t>Εμπορική εταιρεία</w:t>
      </w:r>
      <w:r w:rsidR="006177AC" w:rsidRPr="004635EF">
        <w:rPr>
          <w:rFonts w:ascii="Century Gothic" w:hAnsi="Century Gothic"/>
          <w:iCs/>
          <w:sz w:val="20"/>
          <w:szCs w:val="20"/>
        </w:rPr>
        <w:t xml:space="preserve"> (Ο.Ε, Ε.Ε, Ε.Π.Ε, Μ.Ε.Π.Ε, Α.Ε, Ι.Κ.Ε)</w:t>
      </w:r>
    </w:p>
    <w:p w14:paraId="7BB10CF9" w14:textId="77777777" w:rsidR="004E5EDB" w:rsidRPr="004635EF" w:rsidRDefault="004E5EDB" w:rsidP="00624607">
      <w:pPr>
        <w:pStyle w:val="a3"/>
        <w:numPr>
          <w:ilvl w:val="0"/>
          <w:numId w:val="3"/>
        </w:numPr>
        <w:spacing w:after="120"/>
        <w:jc w:val="both"/>
        <w:rPr>
          <w:rFonts w:ascii="Century Gothic" w:hAnsi="Century Gothic"/>
          <w:iCs/>
          <w:sz w:val="20"/>
          <w:szCs w:val="20"/>
        </w:rPr>
      </w:pPr>
      <w:r w:rsidRPr="004635EF">
        <w:rPr>
          <w:rFonts w:ascii="Century Gothic" w:hAnsi="Century Gothic"/>
          <w:iCs/>
          <w:sz w:val="20"/>
          <w:szCs w:val="20"/>
        </w:rPr>
        <w:t>Συνεταιρισμός</w:t>
      </w:r>
    </w:p>
    <w:p w14:paraId="524B9581" w14:textId="77777777" w:rsidR="00A53D2E" w:rsidRPr="004635EF" w:rsidRDefault="00A819AC" w:rsidP="00624607">
      <w:pPr>
        <w:pStyle w:val="a3"/>
        <w:numPr>
          <w:ilvl w:val="0"/>
          <w:numId w:val="3"/>
        </w:numPr>
        <w:spacing w:after="120"/>
        <w:jc w:val="both"/>
        <w:rPr>
          <w:rFonts w:ascii="Century Gothic" w:hAnsi="Century Gothic"/>
          <w:iCs/>
          <w:sz w:val="20"/>
          <w:szCs w:val="20"/>
        </w:rPr>
      </w:pPr>
      <w:r w:rsidRPr="004635EF">
        <w:rPr>
          <w:rFonts w:ascii="Century Gothic" w:hAnsi="Century Gothic"/>
          <w:iCs/>
          <w:sz w:val="20"/>
          <w:szCs w:val="20"/>
        </w:rPr>
        <w:t>Κοινωνικές συνεταιριστικές επιχειρήσεις (</w:t>
      </w:r>
      <w:proofErr w:type="spellStart"/>
      <w:r w:rsidRPr="004635EF">
        <w:rPr>
          <w:rFonts w:ascii="Century Gothic" w:hAnsi="Century Gothic"/>
          <w:iCs/>
          <w:sz w:val="20"/>
          <w:szCs w:val="20"/>
        </w:rPr>
        <w:t>Κοιν.Σ.Επ</w:t>
      </w:r>
      <w:proofErr w:type="spellEnd"/>
      <w:r w:rsidRPr="004635EF">
        <w:rPr>
          <w:rFonts w:ascii="Century Gothic" w:hAnsi="Century Gothic"/>
          <w:iCs/>
          <w:sz w:val="20"/>
          <w:szCs w:val="20"/>
        </w:rPr>
        <w:t>.), Αγροτικοί συνεταιρισμοί (ΑΣ), Ομάδες παραγωγών (ΟΠ), Αγροτικές εταιρικές συμπράξεις (ΑΕΣ) </w:t>
      </w:r>
    </w:p>
    <w:p w14:paraId="55D6D217" w14:textId="60E93479" w:rsidR="00A53D2E" w:rsidRPr="004635EF" w:rsidRDefault="008C79E9" w:rsidP="00624607">
      <w:pPr>
        <w:pStyle w:val="a3"/>
        <w:numPr>
          <w:ilvl w:val="0"/>
          <w:numId w:val="3"/>
        </w:numPr>
        <w:spacing w:after="120"/>
        <w:jc w:val="both"/>
        <w:rPr>
          <w:rFonts w:ascii="Century Gothic" w:hAnsi="Century Gothic"/>
          <w:iCs/>
          <w:sz w:val="20"/>
          <w:szCs w:val="20"/>
        </w:rPr>
      </w:pPr>
      <w:r>
        <w:rPr>
          <w:rFonts w:ascii="Century Gothic" w:hAnsi="Century Gothic"/>
          <w:iCs/>
          <w:sz w:val="20"/>
          <w:szCs w:val="20"/>
        </w:rPr>
        <w:t>Κοινοπραξίες που ασκούν εμπορική δραστηριότητα</w:t>
      </w:r>
    </w:p>
    <w:p w14:paraId="2D46A807" w14:textId="65A30EA5" w:rsidR="00A53D2E" w:rsidRPr="004635EF" w:rsidRDefault="00A53D2E" w:rsidP="00624607">
      <w:pPr>
        <w:pStyle w:val="a3"/>
        <w:numPr>
          <w:ilvl w:val="0"/>
          <w:numId w:val="3"/>
        </w:numPr>
        <w:spacing w:after="120"/>
        <w:ind w:left="714" w:hanging="357"/>
        <w:jc w:val="both"/>
        <w:rPr>
          <w:rFonts w:ascii="Century Gothic" w:hAnsi="Century Gothic"/>
          <w:iCs/>
          <w:sz w:val="20"/>
          <w:szCs w:val="20"/>
        </w:rPr>
      </w:pPr>
      <w:r w:rsidRPr="004635EF">
        <w:rPr>
          <w:rFonts w:ascii="Century Gothic" w:hAnsi="Century Gothic"/>
          <w:iCs/>
          <w:sz w:val="20"/>
          <w:szCs w:val="20"/>
        </w:rPr>
        <w:t xml:space="preserve">Δημόσιες και δημοτικές επιχειρήσεις και θυγατρικές τους εφόσον </w:t>
      </w:r>
      <w:r w:rsidR="007D0A93" w:rsidRPr="004635EF">
        <w:rPr>
          <w:rFonts w:ascii="Century Gothic" w:hAnsi="Century Gothic"/>
          <w:iCs/>
          <w:sz w:val="20"/>
          <w:szCs w:val="20"/>
        </w:rPr>
        <w:t xml:space="preserve">σύμφωνα με τα οριζόμενα </w:t>
      </w:r>
      <w:r w:rsidR="00175B07" w:rsidRPr="004635EF">
        <w:rPr>
          <w:rFonts w:ascii="Century Gothic" w:hAnsi="Century Gothic"/>
          <w:iCs/>
          <w:sz w:val="20"/>
          <w:szCs w:val="20"/>
        </w:rPr>
        <w:t>στη</w:t>
      </w:r>
      <w:r w:rsidR="007D0A93" w:rsidRPr="004635EF">
        <w:rPr>
          <w:rFonts w:ascii="Century Gothic" w:hAnsi="Century Gothic"/>
          <w:iCs/>
          <w:sz w:val="20"/>
          <w:szCs w:val="20"/>
        </w:rPr>
        <w:t xml:space="preserve"> Προκήρυξη.</w:t>
      </w:r>
    </w:p>
    <w:p w14:paraId="30680DAE" w14:textId="77777777" w:rsidR="0094485D" w:rsidRDefault="0094485D" w:rsidP="0094485D">
      <w:pPr>
        <w:spacing w:after="120"/>
        <w:rPr>
          <w:rFonts w:ascii="Century Gothic" w:hAnsi="Century Gothic"/>
          <w:iCs/>
          <w:sz w:val="20"/>
          <w:szCs w:val="20"/>
        </w:rPr>
      </w:pPr>
    </w:p>
    <w:p w14:paraId="120DCAD7" w14:textId="2272FD31" w:rsidR="00FD5B94" w:rsidRPr="0094485D" w:rsidRDefault="004E5EDB" w:rsidP="0094485D">
      <w:pPr>
        <w:spacing w:after="120"/>
        <w:rPr>
          <w:rFonts w:ascii="Century Gothic" w:hAnsi="Century Gothic"/>
          <w:iCs/>
          <w:sz w:val="20"/>
          <w:szCs w:val="20"/>
        </w:rPr>
      </w:pPr>
      <w:r w:rsidRPr="004635EF">
        <w:rPr>
          <w:rFonts w:ascii="Century Gothic" w:hAnsi="Century Gothic"/>
          <w:b/>
          <w:iCs/>
          <w:sz w:val="20"/>
          <w:szCs w:val="20"/>
        </w:rPr>
        <w:t>ΥΠΑΓΟΜΕΝΑ ΕΠΕΝΔΥΤΙΚΑ ΣΧΕΔΙΑ</w:t>
      </w:r>
    </w:p>
    <w:p w14:paraId="5AB2D80D" w14:textId="31DE613D" w:rsidR="00671F52" w:rsidRDefault="00671F52" w:rsidP="00624607">
      <w:pPr>
        <w:spacing w:after="120"/>
        <w:jc w:val="both"/>
        <w:rPr>
          <w:rFonts w:ascii="Century Gothic" w:hAnsi="Century Gothic"/>
          <w:bCs/>
          <w:iCs/>
          <w:sz w:val="20"/>
          <w:szCs w:val="20"/>
        </w:rPr>
      </w:pPr>
      <w:r w:rsidRPr="004635EF">
        <w:rPr>
          <w:rFonts w:ascii="Century Gothic" w:hAnsi="Century Gothic"/>
          <w:bCs/>
          <w:iCs/>
          <w:sz w:val="20"/>
          <w:szCs w:val="20"/>
        </w:rPr>
        <w:t xml:space="preserve">Στο παρόν καθεστώς </w:t>
      </w:r>
      <w:r w:rsidRPr="004635EF">
        <w:rPr>
          <w:rFonts w:ascii="Century Gothic" w:hAnsi="Century Gothic"/>
          <w:b/>
          <w:iCs/>
          <w:sz w:val="20"/>
          <w:szCs w:val="20"/>
        </w:rPr>
        <w:t xml:space="preserve">υπάγονται </w:t>
      </w:r>
      <w:r w:rsidRPr="004635EF">
        <w:rPr>
          <w:rFonts w:ascii="Century Gothic" w:hAnsi="Century Gothic"/>
          <w:bCs/>
          <w:iCs/>
          <w:sz w:val="20"/>
          <w:szCs w:val="20"/>
        </w:rPr>
        <w:t xml:space="preserve">επενδυτικά σχέδια </w:t>
      </w:r>
      <w:r w:rsidR="008C79E9">
        <w:rPr>
          <w:rFonts w:ascii="Century Gothic" w:hAnsi="Century Gothic"/>
          <w:bCs/>
          <w:iCs/>
          <w:sz w:val="20"/>
          <w:szCs w:val="20"/>
        </w:rPr>
        <w:t>εξαιρουμένων αυτών που εμπίπτουν στα καθεστώτα ενισχύσεων αγροδιατροφής – πρωτογενούς παραγωγής και μεταποίησης γεωργικών προϊόντων – αλιείας άρθρων 65-71, μεταποίησης – εφοδιαστικής αλυσίδας άρθρων 72-77, ενίσχυσης τουριστικών επενδύσεων άρθρων 84-90 και εναλλακτικών μορφών τουρισμού άρθρων 91-97.</w:t>
      </w:r>
    </w:p>
    <w:p w14:paraId="3B453CA6" w14:textId="39DC9ED7" w:rsidR="008C79E9" w:rsidRPr="008C79E9" w:rsidRDefault="008C79E9" w:rsidP="00624607">
      <w:pPr>
        <w:spacing w:after="120"/>
        <w:jc w:val="both"/>
        <w:rPr>
          <w:rFonts w:ascii="Century Gothic" w:hAnsi="Century Gothic"/>
          <w:bCs/>
          <w:iCs/>
          <w:sz w:val="20"/>
          <w:szCs w:val="20"/>
        </w:rPr>
      </w:pPr>
      <w:r>
        <w:rPr>
          <w:rFonts w:ascii="Century Gothic" w:hAnsi="Century Gothic"/>
          <w:bCs/>
          <w:iCs/>
          <w:sz w:val="20"/>
          <w:szCs w:val="20"/>
        </w:rPr>
        <w:t>Για τα επενδυτικά σχέδια</w:t>
      </w:r>
      <w:r w:rsidRPr="008C79E9">
        <w:rPr>
          <w:rFonts w:ascii="Century Gothic" w:hAnsi="Century Gothic"/>
          <w:bCs/>
          <w:iCs/>
          <w:sz w:val="20"/>
          <w:szCs w:val="20"/>
        </w:rPr>
        <w:t>:</w:t>
      </w:r>
    </w:p>
    <w:p w14:paraId="1727C524" w14:textId="0F5ED8D7" w:rsidR="00F66C0F" w:rsidRDefault="008C79E9" w:rsidP="008C79E9">
      <w:pPr>
        <w:pStyle w:val="a3"/>
        <w:numPr>
          <w:ilvl w:val="0"/>
          <w:numId w:val="20"/>
        </w:numPr>
        <w:spacing w:after="120"/>
        <w:jc w:val="both"/>
        <w:rPr>
          <w:rFonts w:ascii="Century Gothic" w:hAnsi="Century Gothic"/>
          <w:iCs/>
          <w:sz w:val="20"/>
          <w:szCs w:val="20"/>
        </w:rPr>
      </w:pPr>
      <w:r>
        <w:rPr>
          <w:rFonts w:ascii="Century Gothic" w:hAnsi="Century Gothic"/>
          <w:iCs/>
          <w:sz w:val="20"/>
          <w:szCs w:val="20"/>
        </w:rPr>
        <w:t>Εξόρυξης μαρμάρων και άλλων ασβεστ</w:t>
      </w:r>
      <w:r w:rsidR="000E5A47">
        <w:rPr>
          <w:rFonts w:ascii="Century Gothic" w:hAnsi="Century Gothic"/>
          <w:iCs/>
          <w:sz w:val="20"/>
          <w:szCs w:val="20"/>
        </w:rPr>
        <w:t xml:space="preserve">ολιθικών λίθων, για μνημεία ή κτίρια (ΚΑΔ 08.11.11) και εξόρυξης γρανίτη, </w:t>
      </w:r>
      <w:proofErr w:type="spellStart"/>
      <w:r w:rsidR="000E5A47">
        <w:rPr>
          <w:rFonts w:ascii="Century Gothic" w:hAnsi="Century Gothic"/>
          <w:iCs/>
          <w:sz w:val="20"/>
          <w:szCs w:val="20"/>
        </w:rPr>
        <w:t>ψαμίτη</w:t>
      </w:r>
      <w:proofErr w:type="spellEnd"/>
      <w:r w:rsidR="000E5A47">
        <w:rPr>
          <w:rFonts w:ascii="Century Gothic" w:hAnsi="Century Gothic"/>
          <w:iCs/>
          <w:sz w:val="20"/>
          <w:szCs w:val="20"/>
        </w:rPr>
        <w:t xml:space="preserve"> και άλλων λίθων για μνημεία ή </w:t>
      </w:r>
      <w:r w:rsidR="000E5A47">
        <w:rPr>
          <w:rFonts w:ascii="Century Gothic" w:hAnsi="Century Gothic"/>
          <w:iCs/>
          <w:sz w:val="20"/>
          <w:szCs w:val="20"/>
        </w:rPr>
        <w:lastRenderedPageBreak/>
        <w:t>κτίρια (οικοδομικών λίθων) (ΚΑΔ 08.11.12), όταν πραγματοποιούνται από επιχειρήσεις με υφιστάμενη ή μέχρι την ολοκλήρωση επενδυτικών σχεδίων της εξόρυξης, αποκτηθείσα μεταποιητική δραστηριότητα</w:t>
      </w:r>
    </w:p>
    <w:p w14:paraId="44B15A4A" w14:textId="7B62B864" w:rsidR="000E5A47" w:rsidRDefault="000E5A47" w:rsidP="008C79E9">
      <w:pPr>
        <w:pStyle w:val="a3"/>
        <w:numPr>
          <w:ilvl w:val="0"/>
          <w:numId w:val="20"/>
        </w:numPr>
        <w:spacing w:after="120"/>
        <w:jc w:val="both"/>
        <w:rPr>
          <w:rFonts w:ascii="Century Gothic" w:hAnsi="Century Gothic"/>
          <w:iCs/>
          <w:sz w:val="20"/>
          <w:szCs w:val="20"/>
        </w:rPr>
      </w:pPr>
      <w:r>
        <w:rPr>
          <w:rFonts w:ascii="Century Gothic" w:hAnsi="Century Gothic"/>
          <w:iCs/>
          <w:sz w:val="20"/>
          <w:szCs w:val="20"/>
        </w:rPr>
        <w:t>Αφαλάτωσης θαλασσινού νερού, (ΚΑΔ 36.00.20.01) όταν πραγματοποιούνται σε νησιωτικές περιοχές με αξιοποίηση ΑΠΕ χωρίς να συμπεριλαμβάνονται στο ενισχυόμενο κόστος τους</w:t>
      </w:r>
    </w:p>
    <w:p w14:paraId="52195946" w14:textId="18905F85" w:rsidR="000E5A47" w:rsidRDefault="000E5A47" w:rsidP="008C79E9">
      <w:pPr>
        <w:pStyle w:val="a3"/>
        <w:numPr>
          <w:ilvl w:val="0"/>
          <w:numId w:val="20"/>
        </w:numPr>
        <w:spacing w:after="120"/>
        <w:jc w:val="both"/>
        <w:rPr>
          <w:rFonts w:ascii="Century Gothic" w:hAnsi="Century Gothic"/>
          <w:iCs/>
          <w:sz w:val="20"/>
          <w:szCs w:val="20"/>
        </w:rPr>
      </w:pPr>
      <w:r>
        <w:rPr>
          <w:rFonts w:ascii="Century Gothic" w:hAnsi="Century Gothic"/>
          <w:iCs/>
          <w:sz w:val="20"/>
          <w:szCs w:val="20"/>
        </w:rPr>
        <w:t>Παραγωγής κινηματογραφικών ταινιών, βίντεο και τηλεοπτικών προγραμμάτων, ηχογραφήσεις και μουσικές εκδόσεις (ΚΑΔ 59 και 60.10.2, 60.20.1, 60.20.2, 60.20.3, 63.11.2, 63.11.21, 63.11.22) για τη δημιουργία μόνιμων εγκαταστάσεων «</w:t>
      </w:r>
      <w:r>
        <w:rPr>
          <w:rFonts w:ascii="Century Gothic" w:hAnsi="Century Gothic"/>
          <w:iCs/>
          <w:sz w:val="20"/>
          <w:szCs w:val="20"/>
          <w:lang w:val="en-US"/>
        </w:rPr>
        <w:t>studios</w:t>
      </w:r>
      <w:r>
        <w:rPr>
          <w:rFonts w:ascii="Century Gothic" w:hAnsi="Century Gothic"/>
          <w:iCs/>
          <w:sz w:val="20"/>
          <w:szCs w:val="20"/>
        </w:rPr>
        <w:t>».</w:t>
      </w:r>
    </w:p>
    <w:p w14:paraId="75AD38B8" w14:textId="4F6C8D70" w:rsidR="000E5A47" w:rsidRDefault="000E5A47" w:rsidP="008C79E9">
      <w:pPr>
        <w:pStyle w:val="a3"/>
        <w:numPr>
          <w:ilvl w:val="0"/>
          <w:numId w:val="20"/>
        </w:numPr>
        <w:spacing w:after="120"/>
        <w:jc w:val="both"/>
        <w:rPr>
          <w:rFonts w:ascii="Century Gothic" w:hAnsi="Century Gothic"/>
          <w:iCs/>
          <w:sz w:val="20"/>
          <w:szCs w:val="20"/>
        </w:rPr>
      </w:pPr>
      <w:r>
        <w:rPr>
          <w:rFonts w:ascii="Century Gothic" w:hAnsi="Century Gothic"/>
          <w:iCs/>
          <w:sz w:val="20"/>
          <w:szCs w:val="20"/>
        </w:rPr>
        <w:t>Διαχείρισης ακίνητης περιουσίας (ΚΑΔ 68.32.13.00) για επιχειρήσεις ανάπτυξης και διαχείρισης Ο.Υ.Μ.Ε.Δ. εφόσον αυτά αφορούν σε ίδρυση ή επέκταση και υλοποιούνται σε έκταση άνω των τριακοσίων (300) στρεμμάτων.</w:t>
      </w:r>
    </w:p>
    <w:p w14:paraId="163D346E" w14:textId="635D485A" w:rsidR="000E5A47" w:rsidRDefault="000E5A47" w:rsidP="008C79E9">
      <w:pPr>
        <w:pStyle w:val="a3"/>
        <w:numPr>
          <w:ilvl w:val="0"/>
          <w:numId w:val="20"/>
        </w:numPr>
        <w:spacing w:after="120"/>
        <w:jc w:val="both"/>
        <w:rPr>
          <w:rFonts w:ascii="Century Gothic" w:hAnsi="Century Gothic"/>
          <w:iCs/>
          <w:sz w:val="20"/>
          <w:szCs w:val="20"/>
        </w:rPr>
      </w:pPr>
      <w:r>
        <w:rPr>
          <w:rFonts w:ascii="Century Gothic" w:hAnsi="Century Gothic"/>
          <w:iCs/>
          <w:sz w:val="20"/>
          <w:szCs w:val="20"/>
        </w:rPr>
        <w:t>Υπηρεσίες γηπέδου (ΚΑΔ 93.11.10.01) με κατασκευή τουλάχιστον έξι (6) γηπέδων και υπηρεσιών κολυμβητηρίου (πισίνας) διαστάσεων άνω των 25 μέτρων αποκλειστικά για αθλητικούς σκοπούς.</w:t>
      </w:r>
    </w:p>
    <w:p w14:paraId="0CADA341" w14:textId="6DF64478" w:rsidR="000E5A47" w:rsidRDefault="000E5A47" w:rsidP="008C79E9">
      <w:pPr>
        <w:pStyle w:val="a3"/>
        <w:numPr>
          <w:ilvl w:val="0"/>
          <w:numId w:val="20"/>
        </w:numPr>
        <w:spacing w:after="120"/>
        <w:jc w:val="both"/>
        <w:rPr>
          <w:rFonts w:ascii="Century Gothic" w:hAnsi="Century Gothic"/>
          <w:iCs/>
          <w:sz w:val="20"/>
          <w:szCs w:val="20"/>
        </w:rPr>
      </w:pPr>
      <w:r>
        <w:rPr>
          <w:rFonts w:ascii="Century Gothic" w:hAnsi="Century Gothic"/>
          <w:iCs/>
          <w:sz w:val="20"/>
          <w:szCs w:val="20"/>
        </w:rPr>
        <w:t xml:space="preserve">Υπηρεσιών μηχανικών πλυντηρίων (ΚΑΔ 96.01.19.02) και υπηρεσιών σιδερωτηρίου ρούχων (ΚΑΔ 96.01.13.01) των οποίων η δραστηριότητα αφορά σε ποσοστό άνω του 60%, υπηρεσίες σε νοσοκομεία, ξενοδοχεία, οίκους ευγηρίας </w:t>
      </w:r>
      <w:proofErr w:type="spellStart"/>
      <w:r>
        <w:rPr>
          <w:rFonts w:ascii="Century Gothic" w:hAnsi="Century Gothic"/>
          <w:iCs/>
          <w:sz w:val="20"/>
          <w:szCs w:val="20"/>
        </w:rPr>
        <w:t>κ.λ.π</w:t>
      </w:r>
      <w:proofErr w:type="spellEnd"/>
      <w:r>
        <w:rPr>
          <w:rFonts w:ascii="Century Gothic" w:hAnsi="Century Gothic"/>
          <w:iCs/>
          <w:sz w:val="20"/>
          <w:szCs w:val="20"/>
        </w:rPr>
        <w:t>. και το ελάχιστο ύψος υπερβαίνει το ένα (1) εκατομμύριο ευρώ.</w:t>
      </w:r>
    </w:p>
    <w:p w14:paraId="1BAD9353" w14:textId="77A94E31" w:rsidR="000E5A47" w:rsidRDefault="000E5A47" w:rsidP="008C79E9">
      <w:pPr>
        <w:pStyle w:val="a3"/>
        <w:numPr>
          <w:ilvl w:val="0"/>
          <w:numId w:val="20"/>
        </w:numPr>
        <w:spacing w:after="120"/>
        <w:jc w:val="both"/>
        <w:rPr>
          <w:rFonts w:ascii="Century Gothic" w:hAnsi="Century Gothic"/>
          <w:iCs/>
          <w:sz w:val="20"/>
          <w:szCs w:val="20"/>
        </w:rPr>
      </w:pPr>
      <w:r>
        <w:rPr>
          <w:rFonts w:ascii="Century Gothic" w:hAnsi="Century Gothic"/>
          <w:iCs/>
          <w:sz w:val="20"/>
          <w:szCs w:val="20"/>
        </w:rPr>
        <w:t xml:space="preserve">Δημιουργίας κέντρων αποθεραπείας </w:t>
      </w:r>
      <w:r w:rsidR="00BF5100">
        <w:rPr>
          <w:rFonts w:ascii="Century Gothic" w:hAnsi="Century Gothic"/>
          <w:iCs/>
          <w:sz w:val="20"/>
          <w:szCs w:val="20"/>
        </w:rPr>
        <w:t>και αποκατάστασης και επενδυτικά σχέδια για τη παροχή στέγης υποστηριζόμενης διαβίωσης ατόμων με αναπηρία, με ελάχιστο ύψος άνω του ενός (1) εκατομμυρίου ευρώ.</w:t>
      </w:r>
    </w:p>
    <w:p w14:paraId="35299906" w14:textId="3E98D77E" w:rsidR="00BF5100" w:rsidRPr="008C79E9" w:rsidRDefault="00BF5100" w:rsidP="008C79E9">
      <w:pPr>
        <w:pStyle w:val="a3"/>
        <w:numPr>
          <w:ilvl w:val="0"/>
          <w:numId w:val="20"/>
        </w:numPr>
        <w:spacing w:after="120"/>
        <w:jc w:val="both"/>
        <w:rPr>
          <w:rFonts w:ascii="Century Gothic" w:hAnsi="Century Gothic"/>
          <w:iCs/>
          <w:sz w:val="20"/>
          <w:szCs w:val="20"/>
        </w:rPr>
      </w:pPr>
      <w:r>
        <w:rPr>
          <w:rFonts w:ascii="Century Gothic" w:hAnsi="Century Gothic"/>
          <w:iCs/>
          <w:sz w:val="20"/>
          <w:szCs w:val="20"/>
        </w:rPr>
        <w:t>Παροχής υπηρεσιών οίκων ευγηρίας (ΚΑΔ 87.30.11.01) με ελάχιστο ύψος άνω του ενός (1) εκατομμυρίου ευρώ.</w:t>
      </w:r>
    </w:p>
    <w:p w14:paraId="22B3410A" w14:textId="4F2244C5" w:rsidR="00101F9F" w:rsidRPr="004635EF" w:rsidRDefault="004E5EDB" w:rsidP="00624607">
      <w:pPr>
        <w:spacing w:after="120"/>
        <w:jc w:val="both"/>
        <w:rPr>
          <w:rFonts w:ascii="Century Gothic" w:hAnsi="Century Gothic"/>
          <w:b/>
          <w:iCs/>
          <w:sz w:val="20"/>
          <w:szCs w:val="20"/>
        </w:rPr>
      </w:pPr>
      <w:r w:rsidRPr="004635EF">
        <w:rPr>
          <w:rFonts w:ascii="Century Gothic" w:hAnsi="Century Gothic"/>
          <w:b/>
          <w:iCs/>
          <w:sz w:val="20"/>
          <w:szCs w:val="20"/>
        </w:rPr>
        <w:t>Ε</w:t>
      </w:r>
      <w:r w:rsidR="008A222D" w:rsidRPr="004635EF">
        <w:rPr>
          <w:rFonts w:ascii="Century Gothic" w:hAnsi="Century Gothic"/>
          <w:b/>
          <w:iCs/>
          <w:sz w:val="20"/>
          <w:szCs w:val="20"/>
        </w:rPr>
        <w:t xml:space="preserve">ΠΙΛΕΞΙΜΕΣ </w:t>
      </w:r>
      <w:r w:rsidRPr="004635EF">
        <w:rPr>
          <w:rFonts w:ascii="Century Gothic" w:hAnsi="Century Gothic"/>
          <w:b/>
          <w:iCs/>
          <w:sz w:val="20"/>
          <w:szCs w:val="20"/>
        </w:rPr>
        <w:t>ΔΑΠΑΝΕΣ</w:t>
      </w:r>
    </w:p>
    <w:p w14:paraId="15F20345" w14:textId="7C463D66" w:rsidR="0053136D" w:rsidRPr="004635EF" w:rsidRDefault="0053136D" w:rsidP="00624607">
      <w:pPr>
        <w:spacing w:after="120"/>
        <w:jc w:val="both"/>
        <w:rPr>
          <w:rFonts w:ascii="Century Gothic" w:hAnsi="Century Gothic"/>
          <w:bCs/>
          <w:iCs/>
          <w:sz w:val="20"/>
          <w:szCs w:val="20"/>
        </w:rPr>
      </w:pPr>
      <w:r w:rsidRPr="004635EF">
        <w:rPr>
          <w:rFonts w:ascii="Century Gothic" w:hAnsi="Century Gothic"/>
          <w:bCs/>
          <w:iCs/>
          <w:sz w:val="20"/>
          <w:szCs w:val="20"/>
        </w:rPr>
        <w:t xml:space="preserve">Οι </w:t>
      </w:r>
      <w:r w:rsidRPr="004635EF">
        <w:rPr>
          <w:rFonts w:ascii="Century Gothic" w:hAnsi="Century Gothic"/>
          <w:b/>
          <w:iCs/>
          <w:sz w:val="20"/>
          <w:szCs w:val="20"/>
        </w:rPr>
        <w:t>επιλέξιμες</w:t>
      </w:r>
      <w:r w:rsidRPr="004635EF">
        <w:rPr>
          <w:rFonts w:ascii="Century Gothic" w:hAnsi="Century Gothic"/>
          <w:bCs/>
          <w:iCs/>
          <w:sz w:val="20"/>
          <w:szCs w:val="20"/>
        </w:rPr>
        <w:t xml:space="preserve"> κατηγορίες δαπανών είναι οι κάτωθι</w:t>
      </w:r>
    </w:p>
    <w:p w14:paraId="24CAB731" w14:textId="6942793E" w:rsidR="00101F9F" w:rsidRPr="004635EF" w:rsidRDefault="00FF3661" w:rsidP="00624607">
      <w:pPr>
        <w:pStyle w:val="a3"/>
        <w:numPr>
          <w:ilvl w:val="0"/>
          <w:numId w:val="9"/>
        </w:numPr>
        <w:spacing w:after="120"/>
        <w:jc w:val="both"/>
        <w:rPr>
          <w:rFonts w:ascii="Century Gothic" w:hAnsi="Century Gothic"/>
          <w:iCs/>
          <w:sz w:val="20"/>
          <w:szCs w:val="20"/>
        </w:rPr>
      </w:pPr>
      <w:r w:rsidRPr="004635EF">
        <w:rPr>
          <w:rFonts w:ascii="Century Gothic" w:hAnsi="Century Gothic"/>
          <w:iCs/>
          <w:sz w:val="20"/>
          <w:szCs w:val="20"/>
        </w:rPr>
        <w:t>Κατασκευή, επέκταση, εκσυγχρονισμός κτιριακών εγκαταστάσεων και ειδικών και βοηθητικών εγκαταστάσεων κτηρίων και η διαμόρφωση του περιβάλλοντος χώρου</w:t>
      </w:r>
      <w:r w:rsidR="00B1140F" w:rsidRPr="004635EF">
        <w:rPr>
          <w:rFonts w:ascii="Century Gothic" w:hAnsi="Century Gothic"/>
          <w:iCs/>
          <w:sz w:val="20"/>
          <w:szCs w:val="20"/>
        </w:rPr>
        <w:t>, με την προϋπόθεση ότι δεν υπερβαίνουν τα μέγιστα όρια σύμφωνα με</w:t>
      </w:r>
      <w:r w:rsidRPr="004635EF">
        <w:rPr>
          <w:rFonts w:ascii="Century Gothic" w:hAnsi="Century Gothic"/>
          <w:iCs/>
          <w:sz w:val="20"/>
          <w:szCs w:val="20"/>
        </w:rPr>
        <w:t xml:space="preserve"> </w:t>
      </w:r>
      <w:r w:rsidR="00B1140F" w:rsidRPr="004635EF">
        <w:rPr>
          <w:rFonts w:ascii="Century Gothic" w:hAnsi="Century Gothic"/>
          <w:iCs/>
          <w:sz w:val="20"/>
          <w:szCs w:val="20"/>
        </w:rPr>
        <w:t xml:space="preserve">το άρθρο </w:t>
      </w:r>
      <w:r w:rsidRPr="004635EF">
        <w:rPr>
          <w:rFonts w:ascii="Century Gothic" w:hAnsi="Century Gothic"/>
          <w:iCs/>
          <w:sz w:val="20"/>
          <w:szCs w:val="20"/>
        </w:rPr>
        <w:t>6</w:t>
      </w:r>
      <w:r w:rsidR="00B1140F" w:rsidRPr="004635EF">
        <w:rPr>
          <w:rFonts w:ascii="Century Gothic" w:hAnsi="Century Gothic"/>
          <w:iCs/>
          <w:sz w:val="20"/>
          <w:szCs w:val="20"/>
        </w:rPr>
        <w:t xml:space="preserve"> της Προκήρυξης</w:t>
      </w:r>
      <w:r w:rsidR="005719E6" w:rsidRPr="004635EF">
        <w:rPr>
          <w:rFonts w:ascii="Century Gothic" w:hAnsi="Century Gothic"/>
          <w:iCs/>
          <w:sz w:val="20"/>
          <w:szCs w:val="20"/>
        </w:rPr>
        <w:t>.</w:t>
      </w:r>
    </w:p>
    <w:p w14:paraId="4654A2DB" w14:textId="36321BE9" w:rsidR="00A371AF" w:rsidRPr="004635EF" w:rsidRDefault="00A371AF" w:rsidP="00624607">
      <w:pPr>
        <w:pStyle w:val="a3"/>
        <w:numPr>
          <w:ilvl w:val="0"/>
          <w:numId w:val="9"/>
        </w:numPr>
        <w:spacing w:after="120"/>
        <w:jc w:val="both"/>
        <w:rPr>
          <w:rFonts w:ascii="Century Gothic" w:hAnsi="Century Gothic"/>
          <w:iCs/>
          <w:sz w:val="20"/>
          <w:szCs w:val="20"/>
        </w:rPr>
      </w:pPr>
      <w:r w:rsidRPr="004635EF">
        <w:rPr>
          <w:rFonts w:ascii="Century Gothic" w:hAnsi="Century Gothic"/>
          <w:iCs/>
          <w:sz w:val="20"/>
          <w:szCs w:val="20"/>
        </w:rPr>
        <w:t>Ενίσχυση της αγοράς του συνόλου ή και μέρους των υφιστάμενων παγίων στοιχείων ενεργητικού, όπως κτίρια, μηχανήματα και λοιπός εξοπλισμός επιχειρηματικής εγκατάστασης (υπό προϋποθέσεις</w:t>
      </w:r>
      <w:r w:rsidRPr="004635EF">
        <w:rPr>
          <w:rFonts w:ascii="Century Gothic" w:hAnsi="Century Gothic" w:cs="Open Sans"/>
          <w:color w:val="636363"/>
          <w:sz w:val="20"/>
          <w:szCs w:val="20"/>
          <w:shd w:val="clear" w:color="auto" w:fill="FFFFFF"/>
        </w:rPr>
        <w:t>)</w:t>
      </w:r>
      <w:r w:rsidR="005719E6" w:rsidRPr="004635EF">
        <w:rPr>
          <w:rFonts w:ascii="Century Gothic" w:hAnsi="Century Gothic" w:cs="Open Sans"/>
          <w:color w:val="636363"/>
          <w:sz w:val="20"/>
          <w:szCs w:val="20"/>
          <w:shd w:val="clear" w:color="auto" w:fill="FFFFFF"/>
        </w:rPr>
        <w:t>.</w:t>
      </w:r>
    </w:p>
    <w:p w14:paraId="2EA5BDE1" w14:textId="523EEB49" w:rsidR="00A371AF" w:rsidRPr="004635EF" w:rsidRDefault="00A371AF" w:rsidP="00624607">
      <w:pPr>
        <w:pStyle w:val="a3"/>
        <w:numPr>
          <w:ilvl w:val="0"/>
          <w:numId w:val="9"/>
        </w:numPr>
        <w:spacing w:after="120"/>
        <w:jc w:val="both"/>
        <w:rPr>
          <w:rFonts w:ascii="Century Gothic" w:hAnsi="Century Gothic"/>
          <w:iCs/>
          <w:sz w:val="20"/>
          <w:szCs w:val="20"/>
        </w:rPr>
      </w:pPr>
      <w:r w:rsidRPr="004635EF">
        <w:rPr>
          <w:rFonts w:ascii="Century Gothic" w:hAnsi="Century Gothic"/>
          <w:iCs/>
          <w:sz w:val="20"/>
          <w:szCs w:val="20"/>
        </w:rPr>
        <w:t>Αγορά και εγκατάσταση καινούριων σύγχρονων μηχανημάτων και λοιπού εξοπλισμού, τεχνικών εγκαταστάσεων και μεταφορικών μέσων  διακίνησης (εντός της μονάδας).</w:t>
      </w:r>
    </w:p>
    <w:p w14:paraId="008750E5" w14:textId="6EA5E77B" w:rsidR="00A371AF" w:rsidRPr="004635EF" w:rsidRDefault="00A371AF" w:rsidP="00624607">
      <w:pPr>
        <w:pStyle w:val="a3"/>
        <w:numPr>
          <w:ilvl w:val="0"/>
          <w:numId w:val="9"/>
        </w:numPr>
        <w:spacing w:after="120"/>
        <w:jc w:val="both"/>
        <w:rPr>
          <w:rFonts w:ascii="Century Gothic" w:hAnsi="Century Gothic"/>
          <w:iCs/>
          <w:sz w:val="20"/>
          <w:szCs w:val="20"/>
        </w:rPr>
      </w:pPr>
      <w:r w:rsidRPr="004635EF">
        <w:rPr>
          <w:rFonts w:ascii="Century Gothic" w:hAnsi="Century Gothic"/>
          <w:iCs/>
          <w:sz w:val="20"/>
          <w:szCs w:val="20"/>
        </w:rPr>
        <w:t>Μισθώματα χρηματοδοτικής μίσθωσης</w:t>
      </w:r>
      <w:r w:rsidR="00BF5100">
        <w:rPr>
          <w:rFonts w:ascii="Century Gothic" w:hAnsi="Century Gothic"/>
          <w:iCs/>
          <w:sz w:val="20"/>
          <w:szCs w:val="20"/>
        </w:rPr>
        <w:t xml:space="preserve"> (</w:t>
      </w:r>
      <w:r w:rsidR="00BF5100">
        <w:rPr>
          <w:rFonts w:ascii="Century Gothic" w:hAnsi="Century Gothic"/>
          <w:iCs/>
          <w:sz w:val="20"/>
          <w:szCs w:val="20"/>
          <w:lang w:val="en-US"/>
        </w:rPr>
        <w:t>leasing</w:t>
      </w:r>
      <w:r w:rsidR="00BF5100" w:rsidRPr="00BF5100">
        <w:rPr>
          <w:rFonts w:ascii="Century Gothic" w:hAnsi="Century Gothic"/>
          <w:iCs/>
          <w:sz w:val="20"/>
          <w:szCs w:val="20"/>
        </w:rPr>
        <w:t>)</w:t>
      </w:r>
      <w:r w:rsidRPr="004635EF">
        <w:rPr>
          <w:rFonts w:ascii="Century Gothic" w:hAnsi="Century Gothic"/>
          <w:iCs/>
          <w:sz w:val="20"/>
          <w:szCs w:val="20"/>
        </w:rPr>
        <w:t xml:space="preserve"> καινούργιων σύγχρονων μηχανημάτων και λοιπού εξοπλισμού.</w:t>
      </w:r>
    </w:p>
    <w:p w14:paraId="381C2E47" w14:textId="7B863F98" w:rsidR="00A371AF" w:rsidRPr="004635EF" w:rsidRDefault="00BF5100" w:rsidP="00624607">
      <w:pPr>
        <w:pStyle w:val="a3"/>
        <w:numPr>
          <w:ilvl w:val="0"/>
          <w:numId w:val="9"/>
        </w:numPr>
        <w:spacing w:after="120"/>
        <w:jc w:val="both"/>
        <w:rPr>
          <w:rFonts w:ascii="Century Gothic" w:hAnsi="Century Gothic"/>
          <w:iCs/>
          <w:sz w:val="20"/>
          <w:szCs w:val="20"/>
        </w:rPr>
      </w:pPr>
      <w:r>
        <w:rPr>
          <w:rFonts w:ascii="Century Gothic" w:hAnsi="Century Gothic"/>
          <w:iCs/>
          <w:sz w:val="20"/>
          <w:szCs w:val="20"/>
        </w:rPr>
        <w:t xml:space="preserve">Εκσυγχρονισμός </w:t>
      </w:r>
      <w:r w:rsidR="00A371AF" w:rsidRPr="004635EF">
        <w:rPr>
          <w:rFonts w:ascii="Century Gothic" w:hAnsi="Century Gothic"/>
          <w:iCs/>
          <w:sz w:val="20"/>
          <w:szCs w:val="20"/>
        </w:rPr>
        <w:t>Ειδικ</w:t>
      </w:r>
      <w:r>
        <w:rPr>
          <w:rFonts w:ascii="Century Gothic" w:hAnsi="Century Gothic"/>
          <w:iCs/>
          <w:sz w:val="20"/>
          <w:szCs w:val="20"/>
        </w:rPr>
        <w:t>ών</w:t>
      </w:r>
      <w:r w:rsidR="00A371AF" w:rsidRPr="004635EF">
        <w:rPr>
          <w:rFonts w:ascii="Century Gothic" w:hAnsi="Century Gothic"/>
          <w:iCs/>
          <w:sz w:val="20"/>
          <w:szCs w:val="20"/>
        </w:rPr>
        <w:t xml:space="preserve"> &amp; μηχανολογικ</w:t>
      </w:r>
      <w:r>
        <w:rPr>
          <w:rFonts w:ascii="Century Gothic" w:hAnsi="Century Gothic"/>
          <w:iCs/>
          <w:sz w:val="20"/>
          <w:szCs w:val="20"/>
        </w:rPr>
        <w:t>ών</w:t>
      </w:r>
      <w:r w:rsidR="00A371AF" w:rsidRPr="004635EF">
        <w:rPr>
          <w:rFonts w:ascii="Century Gothic" w:hAnsi="Century Gothic"/>
          <w:iCs/>
          <w:sz w:val="20"/>
          <w:szCs w:val="20"/>
        </w:rPr>
        <w:t xml:space="preserve"> εγκαταστάσε</w:t>
      </w:r>
      <w:r>
        <w:rPr>
          <w:rFonts w:ascii="Century Gothic" w:hAnsi="Century Gothic"/>
          <w:iCs/>
          <w:sz w:val="20"/>
          <w:szCs w:val="20"/>
        </w:rPr>
        <w:t>ων</w:t>
      </w:r>
      <w:r w:rsidR="00A371AF" w:rsidRPr="004635EF">
        <w:rPr>
          <w:rFonts w:ascii="Century Gothic" w:hAnsi="Century Gothic"/>
          <w:iCs/>
          <w:sz w:val="20"/>
          <w:szCs w:val="20"/>
        </w:rPr>
        <w:t>, εκτός κτιρίων και μηχανολογικού εξοπλισμού.</w:t>
      </w:r>
    </w:p>
    <w:p w14:paraId="2C2BB0A4" w14:textId="201A9D95" w:rsidR="00491BC5" w:rsidRPr="004635EF" w:rsidRDefault="00491BC5" w:rsidP="00624607">
      <w:pPr>
        <w:pStyle w:val="a3"/>
        <w:numPr>
          <w:ilvl w:val="0"/>
          <w:numId w:val="9"/>
        </w:numPr>
        <w:spacing w:after="120"/>
        <w:jc w:val="both"/>
        <w:rPr>
          <w:rFonts w:ascii="Century Gothic" w:hAnsi="Century Gothic"/>
          <w:iCs/>
          <w:sz w:val="20"/>
          <w:szCs w:val="20"/>
        </w:rPr>
      </w:pPr>
      <w:r w:rsidRPr="004635EF">
        <w:rPr>
          <w:rFonts w:ascii="Century Gothic" w:hAnsi="Century Gothic"/>
          <w:iCs/>
          <w:sz w:val="20"/>
          <w:szCs w:val="20"/>
        </w:rPr>
        <w:t xml:space="preserve">Άυλα Στοιχεία Ενεργητικού </w:t>
      </w:r>
    </w:p>
    <w:p w14:paraId="23244538" w14:textId="77777777" w:rsidR="00491BC5" w:rsidRPr="004635EF" w:rsidRDefault="00491BC5" w:rsidP="00624607">
      <w:pPr>
        <w:pStyle w:val="a3"/>
        <w:numPr>
          <w:ilvl w:val="0"/>
          <w:numId w:val="9"/>
        </w:numPr>
        <w:spacing w:after="120"/>
        <w:jc w:val="both"/>
        <w:rPr>
          <w:rFonts w:ascii="Century Gothic" w:hAnsi="Century Gothic"/>
          <w:iCs/>
          <w:sz w:val="20"/>
          <w:szCs w:val="20"/>
        </w:rPr>
      </w:pPr>
      <w:r w:rsidRPr="004635EF">
        <w:rPr>
          <w:rFonts w:ascii="Century Gothic" w:hAnsi="Century Gothic"/>
          <w:iCs/>
          <w:sz w:val="20"/>
          <w:szCs w:val="20"/>
        </w:rPr>
        <w:t>Μισθολογικό Κόστος Νέων θέσεων Εργασίας</w:t>
      </w:r>
    </w:p>
    <w:p w14:paraId="6D574A33" w14:textId="77777777" w:rsidR="00EB3E0B" w:rsidRPr="004635EF" w:rsidRDefault="00EB3E0B" w:rsidP="00624607">
      <w:pPr>
        <w:pStyle w:val="a3"/>
        <w:numPr>
          <w:ilvl w:val="0"/>
          <w:numId w:val="9"/>
        </w:numPr>
        <w:spacing w:after="120"/>
        <w:jc w:val="both"/>
        <w:rPr>
          <w:rFonts w:ascii="Century Gothic" w:hAnsi="Century Gothic"/>
          <w:iCs/>
          <w:sz w:val="20"/>
          <w:szCs w:val="20"/>
        </w:rPr>
      </w:pPr>
      <w:r w:rsidRPr="004635EF">
        <w:rPr>
          <w:rFonts w:ascii="Century Gothic" w:hAnsi="Century Gothic"/>
          <w:iCs/>
          <w:sz w:val="20"/>
          <w:szCs w:val="20"/>
        </w:rPr>
        <w:t xml:space="preserve">Δαπάνες για Συμβουλευτικές Υπηρεσίες (μόνο για </w:t>
      </w:r>
      <w:r w:rsidR="00250C07" w:rsidRPr="004635EF">
        <w:rPr>
          <w:rFonts w:ascii="Century Gothic" w:hAnsi="Century Gothic"/>
          <w:iCs/>
          <w:sz w:val="20"/>
          <w:szCs w:val="20"/>
        </w:rPr>
        <w:t xml:space="preserve">νέες </w:t>
      </w:r>
      <w:r w:rsidRPr="004635EF">
        <w:rPr>
          <w:rFonts w:ascii="Century Gothic" w:hAnsi="Century Gothic"/>
          <w:iCs/>
          <w:sz w:val="20"/>
          <w:szCs w:val="20"/>
        </w:rPr>
        <w:t>ΜΜΕ)</w:t>
      </w:r>
    </w:p>
    <w:p w14:paraId="2CBA8962" w14:textId="68429690" w:rsidR="00A371AF" w:rsidRDefault="00A371AF" w:rsidP="00624607">
      <w:pPr>
        <w:pStyle w:val="a3"/>
        <w:numPr>
          <w:ilvl w:val="0"/>
          <w:numId w:val="9"/>
        </w:numPr>
        <w:spacing w:after="120"/>
        <w:jc w:val="both"/>
        <w:rPr>
          <w:rFonts w:ascii="Century Gothic" w:hAnsi="Century Gothic"/>
          <w:iCs/>
          <w:sz w:val="20"/>
          <w:szCs w:val="20"/>
        </w:rPr>
      </w:pPr>
      <w:r w:rsidRPr="004635EF">
        <w:rPr>
          <w:rFonts w:ascii="Century Gothic" w:hAnsi="Century Gothic"/>
          <w:iCs/>
          <w:sz w:val="20"/>
          <w:szCs w:val="20"/>
        </w:rPr>
        <w:t>Δαπάνες επαγγελματικής κατάρτισης</w:t>
      </w:r>
    </w:p>
    <w:p w14:paraId="5D970553" w14:textId="4EE401D1" w:rsidR="00BF5100" w:rsidRDefault="00BF5100" w:rsidP="00624607">
      <w:pPr>
        <w:pStyle w:val="a3"/>
        <w:numPr>
          <w:ilvl w:val="0"/>
          <w:numId w:val="9"/>
        </w:numPr>
        <w:spacing w:after="120"/>
        <w:jc w:val="both"/>
        <w:rPr>
          <w:rFonts w:ascii="Century Gothic" w:hAnsi="Century Gothic"/>
          <w:iCs/>
          <w:sz w:val="20"/>
          <w:szCs w:val="20"/>
        </w:rPr>
      </w:pPr>
      <w:r>
        <w:rPr>
          <w:rFonts w:ascii="Century Gothic" w:hAnsi="Century Gothic"/>
          <w:iCs/>
          <w:sz w:val="20"/>
          <w:szCs w:val="20"/>
        </w:rPr>
        <w:t>Δαπάνες για αποκατάσταση μολυσμένων χώρων</w:t>
      </w:r>
    </w:p>
    <w:p w14:paraId="1C26A0AB" w14:textId="5068C1FD" w:rsidR="00BF5100" w:rsidRPr="004635EF" w:rsidRDefault="00BF5100" w:rsidP="00624607">
      <w:pPr>
        <w:pStyle w:val="a3"/>
        <w:numPr>
          <w:ilvl w:val="0"/>
          <w:numId w:val="9"/>
        </w:numPr>
        <w:spacing w:after="120"/>
        <w:jc w:val="both"/>
        <w:rPr>
          <w:rFonts w:ascii="Century Gothic" w:hAnsi="Century Gothic"/>
          <w:iCs/>
          <w:sz w:val="20"/>
          <w:szCs w:val="20"/>
        </w:rPr>
      </w:pPr>
      <w:r>
        <w:rPr>
          <w:rFonts w:ascii="Century Gothic" w:hAnsi="Century Gothic"/>
          <w:iCs/>
          <w:sz w:val="20"/>
          <w:szCs w:val="20"/>
        </w:rPr>
        <w:t>Δαπάνες για ανακύκλωση και επαναχρησιμοποίηση αποβλήτων</w:t>
      </w:r>
    </w:p>
    <w:p w14:paraId="55FAAE91" w14:textId="69CF8A45" w:rsidR="00A371AF" w:rsidRPr="004635EF" w:rsidRDefault="00A371AF" w:rsidP="00624607">
      <w:pPr>
        <w:pStyle w:val="a3"/>
        <w:numPr>
          <w:ilvl w:val="0"/>
          <w:numId w:val="9"/>
        </w:numPr>
        <w:spacing w:after="120"/>
        <w:jc w:val="both"/>
        <w:rPr>
          <w:rFonts w:ascii="Century Gothic" w:hAnsi="Century Gothic"/>
          <w:iCs/>
          <w:sz w:val="20"/>
          <w:szCs w:val="20"/>
        </w:rPr>
      </w:pPr>
      <w:r w:rsidRPr="004635EF">
        <w:rPr>
          <w:rFonts w:ascii="Century Gothic" w:hAnsi="Century Gothic"/>
          <w:iCs/>
          <w:sz w:val="20"/>
          <w:szCs w:val="20"/>
        </w:rPr>
        <w:lastRenderedPageBreak/>
        <w:t>Δαπάνες για συμμετοχή των ΜΜΕ σε εμπορικές εκθέσεις</w:t>
      </w:r>
    </w:p>
    <w:p w14:paraId="2129D057" w14:textId="6EA20559" w:rsidR="00E171AC" w:rsidRPr="004635EF" w:rsidRDefault="00E171AC" w:rsidP="00624607">
      <w:pPr>
        <w:spacing w:after="120"/>
        <w:jc w:val="both"/>
        <w:rPr>
          <w:rFonts w:ascii="Century Gothic" w:hAnsi="Century Gothic"/>
          <w:iCs/>
          <w:sz w:val="20"/>
          <w:szCs w:val="20"/>
        </w:rPr>
      </w:pPr>
    </w:p>
    <w:p w14:paraId="58B40F55" w14:textId="7AE089D4" w:rsidR="00E171AC" w:rsidRPr="004635EF" w:rsidRDefault="00E171AC" w:rsidP="00624607">
      <w:pPr>
        <w:spacing w:after="120"/>
        <w:jc w:val="both"/>
        <w:rPr>
          <w:rFonts w:ascii="Century Gothic" w:hAnsi="Century Gothic"/>
          <w:b/>
          <w:bCs/>
          <w:iCs/>
          <w:sz w:val="20"/>
          <w:szCs w:val="20"/>
        </w:rPr>
      </w:pPr>
      <w:r w:rsidRPr="004635EF">
        <w:rPr>
          <w:rFonts w:ascii="Century Gothic" w:hAnsi="Century Gothic"/>
          <w:b/>
          <w:bCs/>
          <w:iCs/>
          <w:sz w:val="20"/>
          <w:szCs w:val="20"/>
        </w:rPr>
        <w:t>ΜΗ ΕΠΙΛΕΞΙΜΕΣ ΔΑΠΑΝΕΣ</w:t>
      </w:r>
    </w:p>
    <w:p w14:paraId="37CE0D20" w14:textId="647DB44C" w:rsidR="00E171AC" w:rsidRPr="004635EF" w:rsidRDefault="00E171AC" w:rsidP="00624607">
      <w:pPr>
        <w:spacing w:after="120"/>
        <w:jc w:val="both"/>
        <w:rPr>
          <w:rFonts w:ascii="Century Gothic" w:hAnsi="Century Gothic"/>
          <w:iCs/>
          <w:sz w:val="20"/>
          <w:szCs w:val="20"/>
        </w:rPr>
      </w:pPr>
      <w:r w:rsidRPr="004635EF">
        <w:rPr>
          <w:rFonts w:ascii="Century Gothic" w:hAnsi="Century Gothic"/>
          <w:iCs/>
          <w:sz w:val="20"/>
          <w:szCs w:val="20"/>
        </w:rPr>
        <w:t xml:space="preserve">Οι κατωτέρω δαπάνες θεωρούνται </w:t>
      </w:r>
      <w:r w:rsidRPr="004635EF">
        <w:rPr>
          <w:rFonts w:ascii="Century Gothic" w:hAnsi="Century Gothic"/>
          <w:b/>
          <w:bCs/>
          <w:iCs/>
          <w:sz w:val="20"/>
          <w:szCs w:val="20"/>
        </w:rPr>
        <w:t>μη επιλέξιμες και εξαιρούνται</w:t>
      </w:r>
      <w:r w:rsidRPr="004635EF">
        <w:rPr>
          <w:rFonts w:ascii="Century Gothic" w:hAnsi="Century Gothic"/>
          <w:iCs/>
          <w:sz w:val="20"/>
          <w:szCs w:val="20"/>
        </w:rPr>
        <w:t xml:space="preserve"> από την παροχή ενισχύσεων:</w:t>
      </w:r>
    </w:p>
    <w:p w14:paraId="67BB26F2" w14:textId="39A2F9ED" w:rsidR="00E171AC" w:rsidRPr="004635EF" w:rsidRDefault="00E171AC" w:rsidP="00624607">
      <w:pPr>
        <w:pStyle w:val="a3"/>
        <w:numPr>
          <w:ilvl w:val="0"/>
          <w:numId w:val="19"/>
        </w:numPr>
        <w:spacing w:after="120"/>
        <w:jc w:val="both"/>
        <w:rPr>
          <w:rFonts w:ascii="Century Gothic" w:hAnsi="Century Gothic"/>
          <w:iCs/>
          <w:sz w:val="20"/>
          <w:szCs w:val="20"/>
        </w:rPr>
      </w:pPr>
      <w:r w:rsidRPr="004635EF">
        <w:rPr>
          <w:rFonts w:ascii="Century Gothic" w:hAnsi="Century Gothic"/>
          <w:iCs/>
          <w:sz w:val="20"/>
          <w:szCs w:val="20"/>
        </w:rPr>
        <w:t xml:space="preserve">Τα λειτουργικά έξοδα της επένδυσης, εκτός εάν εντάσσονται στις δαπάνες για επαγγελματική κατάρτιση της περ. δ του άρθρου 7 ή για συμμετοχή ΜΜΕ σε εμπορικές εκθέσεις της περίπτωση ε του </w:t>
      </w:r>
      <w:proofErr w:type="spellStart"/>
      <w:r w:rsidRPr="004635EF">
        <w:rPr>
          <w:rFonts w:ascii="Century Gothic" w:hAnsi="Century Gothic"/>
          <w:iCs/>
          <w:sz w:val="20"/>
          <w:szCs w:val="20"/>
        </w:rPr>
        <w:t>άρθου</w:t>
      </w:r>
      <w:proofErr w:type="spellEnd"/>
      <w:r w:rsidRPr="004635EF">
        <w:rPr>
          <w:rFonts w:ascii="Century Gothic" w:hAnsi="Century Gothic"/>
          <w:iCs/>
          <w:sz w:val="20"/>
          <w:szCs w:val="20"/>
        </w:rPr>
        <w:t xml:space="preserve"> 7.</w:t>
      </w:r>
    </w:p>
    <w:p w14:paraId="400B7D3B" w14:textId="001104BD" w:rsidR="00E171AC" w:rsidRPr="004635EF" w:rsidRDefault="00E171AC" w:rsidP="00624607">
      <w:pPr>
        <w:pStyle w:val="a3"/>
        <w:numPr>
          <w:ilvl w:val="0"/>
          <w:numId w:val="19"/>
        </w:numPr>
        <w:spacing w:after="120"/>
        <w:jc w:val="both"/>
        <w:rPr>
          <w:rFonts w:ascii="Century Gothic" w:hAnsi="Century Gothic"/>
          <w:iCs/>
          <w:sz w:val="20"/>
          <w:szCs w:val="20"/>
        </w:rPr>
      </w:pPr>
      <w:r w:rsidRPr="004635EF">
        <w:rPr>
          <w:rFonts w:ascii="Century Gothic" w:hAnsi="Century Gothic"/>
          <w:iCs/>
          <w:sz w:val="20"/>
          <w:szCs w:val="20"/>
        </w:rPr>
        <w:t>Η αγορά επίπλων και σκευών γραφείου, εκτός εάν είναι μέρος του Ξενοδοχειακού εξοπλισμού της επένδυσης.</w:t>
      </w:r>
    </w:p>
    <w:p w14:paraId="7C4B561F" w14:textId="04E3660E" w:rsidR="0040722C" w:rsidRPr="004635EF" w:rsidRDefault="00E171AC" w:rsidP="00624607">
      <w:pPr>
        <w:pStyle w:val="a3"/>
        <w:numPr>
          <w:ilvl w:val="0"/>
          <w:numId w:val="19"/>
        </w:numPr>
        <w:spacing w:after="120"/>
        <w:jc w:val="both"/>
        <w:rPr>
          <w:rFonts w:ascii="Century Gothic" w:hAnsi="Century Gothic"/>
          <w:iCs/>
          <w:sz w:val="20"/>
          <w:szCs w:val="20"/>
        </w:rPr>
      </w:pPr>
      <w:r w:rsidRPr="004635EF">
        <w:rPr>
          <w:rFonts w:ascii="Century Gothic" w:hAnsi="Century Gothic"/>
          <w:iCs/>
          <w:sz w:val="20"/>
          <w:szCs w:val="20"/>
        </w:rPr>
        <w:t>Η αγορά επιβατικών αυτοκινήτων έως έξι (6) θέσεων.</w:t>
      </w:r>
    </w:p>
    <w:p w14:paraId="43E18B7D" w14:textId="5FAE9A14" w:rsidR="00E171AC" w:rsidRPr="004635EF" w:rsidRDefault="00E171AC" w:rsidP="00624607">
      <w:pPr>
        <w:pStyle w:val="a3"/>
        <w:numPr>
          <w:ilvl w:val="0"/>
          <w:numId w:val="19"/>
        </w:numPr>
        <w:spacing w:after="120"/>
        <w:jc w:val="both"/>
        <w:rPr>
          <w:rFonts w:ascii="Century Gothic" w:hAnsi="Century Gothic"/>
          <w:iCs/>
          <w:sz w:val="20"/>
          <w:szCs w:val="20"/>
        </w:rPr>
      </w:pPr>
      <w:r w:rsidRPr="004635EF">
        <w:rPr>
          <w:rFonts w:ascii="Century Gothic" w:hAnsi="Century Gothic"/>
          <w:iCs/>
          <w:sz w:val="20"/>
          <w:szCs w:val="20"/>
        </w:rPr>
        <w:t>Η αγορά οικοπέδων, γηπέδων και αγροτεμαχίων.</w:t>
      </w:r>
    </w:p>
    <w:p w14:paraId="18856100" w14:textId="0C2AC871" w:rsidR="00E171AC" w:rsidRPr="004635EF" w:rsidRDefault="00E171AC" w:rsidP="00624607">
      <w:pPr>
        <w:pStyle w:val="a3"/>
        <w:numPr>
          <w:ilvl w:val="0"/>
          <w:numId w:val="19"/>
        </w:numPr>
        <w:spacing w:after="120"/>
        <w:jc w:val="both"/>
        <w:rPr>
          <w:rFonts w:ascii="Century Gothic" w:hAnsi="Century Gothic"/>
          <w:iCs/>
          <w:sz w:val="20"/>
          <w:szCs w:val="20"/>
        </w:rPr>
      </w:pPr>
      <w:r w:rsidRPr="004635EF">
        <w:rPr>
          <w:rFonts w:ascii="Century Gothic" w:hAnsi="Century Gothic"/>
          <w:iCs/>
          <w:sz w:val="20"/>
          <w:szCs w:val="20"/>
        </w:rPr>
        <w:t>Η εισφορά στο εταιρικό κεφάλαιο ακινήτων, μηχανημάτων και λοιπών πάγιων στοιχείων.</w:t>
      </w:r>
    </w:p>
    <w:p w14:paraId="29BD1D09" w14:textId="1FDF7361" w:rsidR="00C17AEB" w:rsidRPr="004635EF" w:rsidRDefault="007F6B7C" w:rsidP="00624607">
      <w:pPr>
        <w:pStyle w:val="a3"/>
        <w:numPr>
          <w:ilvl w:val="0"/>
          <w:numId w:val="19"/>
        </w:numPr>
        <w:spacing w:after="120"/>
        <w:jc w:val="both"/>
        <w:rPr>
          <w:rFonts w:ascii="Century Gothic" w:hAnsi="Century Gothic"/>
          <w:iCs/>
          <w:sz w:val="20"/>
          <w:szCs w:val="20"/>
        </w:rPr>
      </w:pPr>
      <w:r w:rsidRPr="004635EF">
        <w:rPr>
          <w:rFonts w:ascii="Century Gothic" w:hAnsi="Century Gothic"/>
          <w:iCs/>
          <w:sz w:val="20"/>
          <w:szCs w:val="20"/>
        </w:rPr>
        <w:t xml:space="preserve">Η ανέγερση ή επέκταση κτιριακών εγκαταστάσεων επί γηπέδου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 από την </w:t>
      </w:r>
      <w:proofErr w:type="spellStart"/>
      <w:r w:rsidRPr="004635EF">
        <w:rPr>
          <w:rFonts w:ascii="Century Gothic" w:hAnsi="Century Gothic"/>
          <w:iCs/>
          <w:sz w:val="20"/>
          <w:szCs w:val="20"/>
        </w:rPr>
        <w:t>πιστοποιηθείσα</w:t>
      </w:r>
      <w:proofErr w:type="spellEnd"/>
      <w:r w:rsidRPr="004635EF">
        <w:rPr>
          <w:rFonts w:ascii="Century Gothic" w:hAnsi="Century Gothic"/>
          <w:iCs/>
          <w:sz w:val="20"/>
          <w:szCs w:val="20"/>
        </w:rPr>
        <w:t xml:space="preserve"> ημερομηνία ολοκλήρωσης</w:t>
      </w:r>
      <w:r w:rsidR="001233ED" w:rsidRPr="004635EF">
        <w:rPr>
          <w:rFonts w:ascii="Century Gothic" w:hAnsi="Century Gothic"/>
          <w:iCs/>
          <w:sz w:val="20"/>
          <w:szCs w:val="20"/>
        </w:rPr>
        <w:t>.</w:t>
      </w:r>
    </w:p>
    <w:p w14:paraId="5E3A9A8A" w14:textId="77777777" w:rsidR="009F13D8" w:rsidRDefault="009F13D8" w:rsidP="009F13D8">
      <w:pPr>
        <w:spacing w:after="120"/>
        <w:rPr>
          <w:rFonts w:ascii="Century Gothic" w:hAnsi="Century Gothic"/>
          <w:iCs/>
          <w:sz w:val="20"/>
          <w:szCs w:val="20"/>
        </w:rPr>
      </w:pPr>
    </w:p>
    <w:p w14:paraId="6B577A27" w14:textId="4F1B1D29" w:rsidR="004A46A7" w:rsidRPr="004635EF" w:rsidRDefault="00EA43C9" w:rsidP="009F13D8">
      <w:pPr>
        <w:spacing w:after="120"/>
        <w:rPr>
          <w:rFonts w:ascii="Century Gothic" w:hAnsi="Century Gothic"/>
          <w:iCs/>
          <w:sz w:val="20"/>
          <w:szCs w:val="20"/>
        </w:rPr>
      </w:pPr>
      <w:r w:rsidRPr="004635EF">
        <w:rPr>
          <w:rFonts w:ascii="Century Gothic" w:hAnsi="Century Gothic"/>
          <w:b/>
          <w:iCs/>
          <w:sz w:val="20"/>
          <w:szCs w:val="20"/>
        </w:rPr>
        <w:t xml:space="preserve">ΕΙΔΗ ΕΝΙΣΧΥΣΕΩΝ </w:t>
      </w:r>
    </w:p>
    <w:p w14:paraId="71682CEC" w14:textId="52B116A4" w:rsidR="003C6C6E" w:rsidRPr="00624607" w:rsidRDefault="0043671E" w:rsidP="00624607">
      <w:pPr>
        <w:pStyle w:val="a3"/>
        <w:numPr>
          <w:ilvl w:val="0"/>
          <w:numId w:val="11"/>
        </w:numPr>
        <w:spacing w:after="120"/>
        <w:jc w:val="both"/>
        <w:rPr>
          <w:rFonts w:ascii="Century Gothic" w:hAnsi="Century Gothic"/>
          <w:iCs/>
          <w:sz w:val="20"/>
          <w:szCs w:val="20"/>
        </w:rPr>
      </w:pPr>
      <w:r w:rsidRPr="004635EF">
        <w:rPr>
          <w:rFonts w:ascii="Century Gothic" w:hAnsi="Century Gothic"/>
          <w:b/>
          <w:bCs/>
          <w:iCs/>
          <w:sz w:val="20"/>
          <w:szCs w:val="20"/>
        </w:rPr>
        <w:t>Φορο</w:t>
      </w:r>
      <w:r w:rsidR="004A46A7" w:rsidRPr="004635EF">
        <w:rPr>
          <w:rFonts w:ascii="Century Gothic" w:hAnsi="Century Gothic"/>
          <w:b/>
          <w:bCs/>
          <w:iCs/>
          <w:sz w:val="20"/>
          <w:szCs w:val="20"/>
        </w:rPr>
        <w:t xml:space="preserve">λογική </w:t>
      </w:r>
      <w:r w:rsidRPr="004635EF">
        <w:rPr>
          <w:rFonts w:ascii="Century Gothic" w:hAnsi="Century Gothic"/>
          <w:b/>
          <w:bCs/>
          <w:iCs/>
          <w:sz w:val="20"/>
          <w:szCs w:val="20"/>
        </w:rPr>
        <w:t>απαλλαγή</w:t>
      </w:r>
    </w:p>
    <w:p w14:paraId="7008273E" w14:textId="5DE6DC67" w:rsidR="003C6C6E" w:rsidRPr="00624607" w:rsidRDefault="0043671E" w:rsidP="00624607">
      <w:pPr>
        <w:pStyle w:val="a3"/>
        <w:numPr>
          <w:ilvl w:val="0"/>
          <w:numId w:val="10"/>
        </w:numPr>
        <w:spacing w:after="120"/>
        <w:jc w:val="both"/>
        <w:rPr>
          <w:rFonts w:ascii="Century Gothic" w:hAnsi="Century Gothic"/>
          <w:iCs/>
          <w:sz w:val="20"/>
          <w:szCs w:val="20"/>
        </w:rPr>
      </w:pPr>
      <w:r w:rsidRPr="004635EF">
        <w:rPr>
          <w:rFonts w:ascii="Century Gothic" w:hAnsi="Century Gothic"/>
          <w:b/>
          <w:bCs/>
          <w:iCs/>
          <w:sz w:val="20"/>
          <w:szCs w:val="20"/>
        </w:rPr>
        <w:t>Επι</w:t>
      </w:r>
      <w:r w:rsidR="004A46A7" w:rsidRPr="004635EF">
        <w:rPr>
          <w:rFonts w:ascii="Century Gothic" w:hAnsi="Century Gothic"/>
          <w:b/>
          <w:bCs/>
          <w:iCs/>
          <w:sz w:val="20"/>
          <w:szCs w:val="20"/>
        </w:rPr>
        <w:t>χορήγηση</w:t>
      </w:r>
      <w:r w:rsidRPr="004635EF">
        <w:rPr>
          <w:rFonts w:ascii="Century Gothic" w:hAnsi="Century Gothic"/>
          <w:b/>
          <w:bCs/>
          <w:iCs/>
          <w:sz w:val="20"/>
          <w:szCs w:val="20"/>
        </w:rPr>
        <w:t xml:space="preserve"> </w:t>
      </w:r>
    </w:p>
    <w:p w14:paraId="54E258BA" w14:textId="217996C3" w:rsidR="003C6C6E" w:rsidRPr="00624607" w:rsidRDefault="004A46A7" w:rsidP="00624607">
      <w:pPr>
        <w:pStyle w:val="a3"/>
        <w:numPr>
          <w:ilvl w:val="0"/>
          <w:numId w:val="11"/>
        </w:numPr>
        <w:spacing w:after="120"/>
        <w:jc w:val="both"/>
        <w:rPr>
          <w:rFonts w:ascii="Century Gothic" w:hAnsi="Century Gothic"/>
          <w:iCs/>
          <w:sz w:val="20"/>
          <w:szCs w:val="20"/>
        </w:rPr>
      </w:pPr>
      <w:r w:rsidRPr="004635EF">
        <w:rPr>
          <w:rFonts w:ascii="Century Gothic" w:hAnsi="Century Gothic"/>
          <w:b/>
          <w:bCs/>
          <w:iCs/>
          <w:sz w:val="20"/>
          <w:szCs w:val="20"/>
        </w:rPr>
        <w:t>Επιδότηση Χρηματοδοτικής Μίσθωσης</w:t>
      </w:r>
      <w:r w:rsidR="006C4C30" w:rsidRPr="004635EF">
        <w:rPr>
          <w:rFonts w:ascii="Century Gothic" w:hAnsi="Century Gothic"/>
          <w:b/>
          <w:bCs/>
          <w:iCs/>
          <w:sz w:val="20"/>
          <w:szCs w:val="20"/>
        </w:rPr>
        <w:t xml:space="preserve"> (</w:t>
      </w:r>
      <w:r w:rsidR="006C4C30" w:rsidRPr="004635EF">
        <w:rPr>
          <w:rFonts w:ascii="Century Gothic" w:hAnsi="Century Gothic"/>
          <w:b/>
          <w:bCs/>
          <w:iCs/>
          <w:sz w:val="20"/>
          <w:szCs w:val="20"/>
          <w:lang w:val="en-US"/>
        </w:rPr>
        <w:t>Leasing</w:t>
      </w:r>
      <w:r w:rsidR="006C4C30" w:rsidRPr="004635EF">
        <w:rPr>
          <w:rFonts w:ascii="Century Gothic" w:hAnsi="Century Gothic"/>
          <w:b/>
          <w:bCs/>
          <w:iCs/>
          <w:sz w:val="20"/>
          <w:szCs w:val="20"/>
        </w:rPr>
        <w:t>)</w:t>
      </w:r>
      <w:r w:rsidR="007D4DE4" w:rsidRPr="004635EF">
        <w:rPr>
          <w:rFonts w:ascii="Century Gothic" w:hAnsi="Century Gothic"/>
          <w:iCs/>
          <w:sz w:val="20"/>
          <w:szCs w:val="20"/>
        </w:rPr>
        <w:t xml:space="preserve"> </w:t>
      </w:r>
    </w:p>
    <w:p w14:paraId="221C710D" w14:textId="30423421" w:rsidR="001903AD" w:rsidRPr="004635EF" w:rsidRDefault="0043671E" w:rsidP="00624607">
      <w:pPr>
        <w:pStyle w:val="a3"/>
        <w:numPr>
          <w:ilvl w:val="0"/>
          <w:numId w:val="11"/>
        </w:numPr>
        <w:spacing w:after="120"/>
        <w:jc w:val="both"/>
        <w:rPr>
          <w:rFonts w:ascii="Century Gothic" w:hAnsi="Century Gothic"/>
          <w:iCs/>
          <w:sz w:val="20"/>
          <w:szCs w:val="20"/>
        </w:rPr>
      </w:pPr>
      <w:r w:rsidRPr="004635EF">
        <w:rPr>
          <w:rFonts w:ascii="Century Gothic" w:hAnsi="Century Gothic"/>
          <w:b/>
          <w:bCs/>
          <w:iCs/>
          <w:sz w:val="20"/>
          <w:szCs w:val="20"/>
        </w:rPr>
        <w:t>Επιδότηση του κόστους της δημιουργούμενης απασχόλησης</w:t>
      </w:r>
      <w:r w:rsidR="007D4DE4" w:rsidRPr="004635EF">
        <w:rPr>
          <w:rFonts w:ascii="Century Gothic" w:hAnsi="Century Gothic"/>
          <w:iCs/>
          <w:sz w:val="20"/>
          <w:szCs w:val="20"/>
        </w:rPr>
        <w:t xml:space="preserve"> </w:t>
      </w:r>
    </w:p>
    <w:p w14:paraId="0D91D004" w14:textId="7925D762" w:rsidR="00AC4D44"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t>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w:t>
      </w:r>
      <w:r w:rsidR="00165AF2" w:rsidRPr="004635EF">
        <w:rPr>
          <w:rFonts w:ascii="Century Gothic" w:hAnsi="Century Gothic"/>
          <w:iCs/>
          <w:sz w:val="20"/>
          <w:szCs w:val="20"/>
        </w:rPr>
        <w:t xml:space="preserve"> Ειδικά για τα επενδυτικά σχέδια της παρ. 3, το κίνητρο της επιχορήγησης χορηγείται στο εκατό τοις εκατό (100%) του ανώτατου ορίου εκτός της περ. β που χορηγείται στο ενενήντα τοις εκατό (90%).</w:t>
      </w:r>
    </w:p>
    <w:p w14:paraId="1AF09FF9" w14:textId="2CBB8E76" w:rsidR="00AC4D44"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t>Για τις μεσαίες και μεγάλες επιχειρήσεις τα ποσοστά ενισχύσεων για όλα τα είδη κινήτρων, πλην της επιχορήγησης, χορηγούνται στο ογδόντα τοις εκατό (80%) του ανώτατου ορίου του Χάρτη Περιφερειακών Ενισχύσεων.</w:t>
      </w:r>
      <w:r w:rsidR="00165AF2" w:rsidRPr="004635EF">
        <w:rPr>
          <w:rFonts w:ascii="Century Gothic" w:hAnsi="Century Gothic"/>
          <w:iCs/>
          <w:sz w:val="20"/>
          <w:szCs w:val="20"/>
        </w:rPr>
        <w:t xml:space="preserve"> Ειδικά για τα επενδυτικά σχέδια της παρ. 3 τα ανωτέρω κίνητρα χορηγούνται στο εκατό τοις εκατό (100%) του ανώτατου ορίου εκτός της περ. β που χορηγείται στο ενενήντα τοις εκατό (90%).</w:t>
      </w:r>
    </w:p>
    <w:p w14:paraId="4158DA97" w14:textId="09478883" w:rsidR="00F32D26" w:rsidRDefault="00F32D26" w:rsidP="00624607">
      <w:pPr>
        <w:spacing w:after="120"/>
        <w:jc w:val="both"/>
        <w:rPr>
          <w:rFonts w:ascii="Century Gothic" w:hAnsi="Century Gothic"/>
          <w:b/>
          <w:bCs/>
          <w:iCs/>
          <w:sz w:val="20"/>
          <w:szCs w:val="20"/>
        </w:rPr>
      </w:pPr>
    </w:p>
    <w:p w14:paraId="184CBE0B" w14:textId="2595FF24" w:rsidR="009F13D8" w:rsidRPr="004635EF" w:rsidRDefault="009F13D8" w:rsidP="00624607">
      <w:pPr>
        <w:spacing w:after="120"/>
        <w:jc w:val="both"/>
        <w:rPr>
          <w:rFonts w:ascii="Century Gothic" w:hAnsi="Century Gothic"/>
          <w:b/>
          <w:bCs/>
          <w:iCs/>
          <w:sz w:val="20"/>
          <w:szCs w:val="20"/>
        </w:rPr>
      </w:pPr>
      <w:r>
        <w:rPr>
          <w:rFonts w:ascii="Century Gothic" w:hAnsi="Century Gothic"/>
          <w:b/>
          <w:bCs/>
          <w:iCs/>
          <w:sz w:val="20"/>
          <w:szCs w:val="20"/>
        </w:rPr>
        <w:t>ΕΙΔΙΚΑ ΠΟΣΟΣΤΑ ΕΝΙΣΧΥΣΕΩΝ</w:t>
      </w:r>
    </w:p>
    <w:p w14:paraId="0D68BA22" w14:textId="374085C6" w:rsidR="00AC4D44" w:rsidRPr="004635EF" w:rsidRDefault="00AC4D44" w:rsidP="00624607">
      <w:pPr>
        <w:spacing w:after="120"/>
        <w:jc w:val="both"/>
        <w:rPr>
          <w:rFonts w:ascii="Century Gothic" w:hAnsi="Century Gothic"/>
          <w:iCs/>
          <w:sz w:val="20"/>
          <w:szCs w:val="20"/>
        </w:rPr>
      </w:pPr>
      <w:r w:rsidRPr="004635EF">
        <w:rPr>
          <w:rFonts w:ascii="Century Gothic" w:hAnsi="Century Gothic"/>
          <w:b/>
          <w:bCs/>
          <w:iCs/>
          <w:sz w:val="20"/>
          <w:szCs w:val="20"/>
        </w:rPr>
        <w:t>Αυξημένα ποσοστά ενισχύσεων</w:t>
      </w:r>
      <w:r w:rsidRPr="004635EF">
        <w:rPr>
          <w:rFonts w:ascii="Century Gothic" w:hAnsi="Century Gothic"/>
          <w:iCs/>
          <w:sz w:val="20"/>
          <w:szCs w:val="20"/>
        </w:rPr>
        <w:t xml:space="preserve"> χορηγούνται για τα επενδυτικά σχέδια που:</w:t>
      </w:r>
    </w:p>
    <w:p w14:paraId="05B97549" w14:textId="77777777" w:rsidR="00AC4D44"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lastRenderedPageBreak/>
        <w:t>α. υλοποιούνται στις ακόλουθες περιοχές:</w:t>
      </w:r>
    </w:p>
    <w:p w14:paraId="36D51736" w14:textId="77777777" w:rsidR="00AC4D44" w:rsidRPr="004635EF" w:rsidRDefault="00AC4D44" w:rsidP="00624607">
      <w:pPr>
        <w:spacing w:after="120"/>
        <w:jc w:val="both"/>
        <w:rPr>
          <w:rFonts w:ascii="Century Gothic" w:hAnsi="Century Gothic"/>
          <w:iCs/>
          <w:sz w:val="20"/>
          <w:szCs w:val="20"/>
        </w:rPr>
      </w:pPr>
      <w:proofErr w:type="spellStart"/>
      <w:r w:rsidRPr="004635EF">
        <w:rPr>
          <w:rFonts w:ascii="Century Gothic" w:hAnsi="Century Gothic"/>
          <w:iCs/>
          <w:sz w:val="20"/>
          <w:szCs w:val="20"/>
        </w:rPr>
        <w:t>αα</w:t>
      </w:r>
      <w:proofErr w:type="spellEnd"/>
      <w:r w:rsidRPr="004635EF">
        <w:rPr>
          <w:rFonts w:ascii="Century Gothic" w:hAnsi="Century Gothic"/>
          <w:iCs/>
          <w:sz w:val="20"/>
          <w:szCs w:val="20"/>
        </w:rPr>
        <w:t>.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14:paraId="27E8341B" w14:textId="77777777" w:rsidR="00AC4D44" w:rsidRPr="004635EF" w:rsidRDefault="00AC4D44" w:rsidP="00624607">
      <w:pPr>
        <w:spacing w:after="120"/>
        <w:jc w:val="both"/>
        <w:rPr>
          <w:rFonts w:ascii="Century Gothic" w:hAnsi="Century Gothic"/>
          <w:iCs/>
          <w:sz w:val="20"/>
          <w:szCs w:val="20"/>
        </w:rPr>
      </w:pPr>
      <w:proofErr w:type="spellStart"/>
      <w:r w:rsidRPr="004635EF">
        <w:rPr>
          <w:rFonts w:ascii="Century Gothic" w:hAnsi="Century Gothic"/>
          <w:iCs/>
          <w:sz w:val="20"/>
          <w:szCs w:val="20"/>
        </w:rPr>
        <w:t>αβ</w:t>
      </w:r>
      <w:proofErr w:type="spellEnd"/>
      <w:r w:rsidRPr="004635EF">
        <w:rPr>
          <w:rFonts w:ascii="Century Gothic" w:hAnsi="Century Gothic"/>
          <w:iCs/>
          <w:sz w:val="20"/>
          <w:szCs w:val="20"/>
        </w:rPr>
        <w:t>. περιοχές που βρίσκονται σε απόσταση τριάντα (30) χιλιομέτρων από τα σύνορα,</w:t>
      </w:r>
    </w:p>
    <w:p w14:paraId="1223C036" w14:textId="77777777" w:rsidR="00AC4D44" w:rsidRPr="004635EF" w:rsidRDefault="00AC4D44" w:rsidP="00624607">
      <w:pPr>
        <w:spacing w:after="120"/>
        <w:jc w:val="both"/>
        <w:rPr>
          <w:rFonts w:ascii="Century Gothic" w:hAnsi="Century Gothic"/>
          <w:iCs/>
          <w:sz w:val="20"/>
          <w:szCs w:val="20"/>
        </w:rPr>
      </w:pPr>
      <w:proofErr w:type="spellStart"/>
      <w:r w:rsidRPr="004635EF">
        <w:rPr>
          <w:rFonts w:ascii="Century Gothic" w:hAnsi="Century Gothic"/>
          <w:iCs/>
          <w:sz w:val="20"/>
          <w:szCs w:val="20"/>
        </w:rPr>
        <w:t>αγ.</w:t>
      </w:r>
      <w:proofErr w:type="spellEnd"/>
      <w:r w:rsidRPr="004635EF">
        <w:rPr>
          <w:rFonts w:ascii="Century Gothic" w:hAnsi="Century Gothic"/>
          <w:iCs/>
          <w:sz w:val="20"/>
          <w:szCs w:val="20"/>
        </w:rPr>
        <w:t xml:space="preserve"> νησιά με πληθυσμό μικρότερο των τριών χιλιάδων εκατό (3.100) κατοίκων.</w:t>
      </w:r>
    </w:p>
    <w:p w14:paraId="00918747" w14:textId="77777777" w:rsidR="00AC4D44" w:rsidRPr="004635EF" w:rsidRDefault="00AC4D44" w:rsidP="00624607">
      <w:pPr>
        <w:spacing w:after="120"/>
        <w:jc w:val="both"/>
        <w:rPr>
          <w:rFonts w:ascii="Century Gothic" w:hAnsi="Century Gothic"/>
          <w:iCs/>
          <w:sz w:val="20"/>
          <w:szCs w:val="20"/>
        </w:rPr>
      </w:pPr>
      <w:proofErr w:type="spellStart"/>
      <w:r w:rsidRPr="004635EF">
        <w:rPr>
          <w:rFonts w:ascii="Century Gothic" w:hAnsi="Century Gothic"/>
          <w:iCs/>
          <w:sz w:val="20"/>
          <w:szCs w:val="20"/>
        </w:rPr>
        <w:t>αδ</w:t>
      </w:r>
      <w:proofErr w:type="spellEnd"/>
      <w:r w:rsidRPr="004635EF">
        <w:rPr>
          <w:rFonts w:ascii="Century Gothic" w:hAnsi="Century Gothic"/>
          <w:iCs/>
          <w:sz w:val="20"/>
          <w:szCs w:val="20"/>
        </w:rPr>
        <w:t>. που έχουν πληγεί από φυσικές καταστροφές, σύμφωνα με απόφαση της Κυβερνητικής Επιτροπής Κρατικής Αρωγής.</w:t>
      </w:r>
    </w:p>
    <w:p w14:paraId="69FF4FFC" w14:textId="77777777" w:rsidR="00AC4D44"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t>β. υλοποιούνται :</w:t>
      </w:r>
    </w:p>
    <w:p w14:paraId="02AC624D" w14:textId="77777777" w:rsidR="00AC4D44" w:rsidRPr="004635EF" w:rsidRDefault="00AC4D44" w:rsidP="00624607">
      <w:pPr>
        <w:spacing w:after="120"/>
        <w:jc w:val="both"/>
        <w:rPr>
          <w:rFonts w:ascii="Century Gothic" w:hAnsi="Century Gothic"/>
          <w:iCs/>
          <w:sz w:val="20"/>
          <w:szCs w:val="20"/>
        </w:rPr>
      </w:pPr>
      <w:proofErr w:type="spellStart"/>
      <w:r w:rsidRPr="004635EF">
        <w:rPr>
          <w:rFonts w:ascii="Century Gothic" w:hAnsi="Century Gothic"/>
          <w:iCs/>
          <w:sz w:val="20"/>
          <w:szCs w:val="20"/>
        </w:rPr>
        <w:t>βα</w:t>
      </w:r>
      <w:proofErr w:type="spellEnd"/>
      <w:r w:rsidRPr="004635EF">
        <w:rPr>
          <w:rFonts w:ascii="Century Gothic" w:hAnsi="Century Gothic"/>
          <w:iCs/>
          <w:sz w:val="20"/>
          <w:szCs w:val="20"/>
        </w:rPr>
        <w:t>. σε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 και σε Οργανωμένους Υποδοχείς Μεταποιητικών και Επιχειρηματικών Δραστηριοτήτων (Ο.Υ.Μ.Ε.Δ.) και δεν αφορούν σε εκσυγχρονισμό ή επέκταση υφιστάμενων δομών της ενισχυόμενης επιχείρησης,</w:t>
      </w:r>
    </w:p>
    <w:p w14:paraId="2A43C432" w14:textId="77777777" w:rsidR="00AC4D44" w:rsidRPr="004635EF" w:rsidRDefault="00AC4D44" w:rsidP="00624607">
      <w:pPr>
        <w:spacing w:after="120"/>
        <w:jc w:val="both"/>
        <w:rPr>
          <w:rFonts w:ascii="Century Gothic" w:hAnsi="Century Gothic"/>
          <w:iCs/>
          <w:sz w:val="20"/>
          <w:szCs w:val="20"/>
        </w:rPr>
      </w:pPr>
      <w:proofErr w:type="spellStart"/>
      <w:r w:rsidRPr="004635EF">
        <w:rPr>
          <w:rFonts w:ascii="Century Gothic" w:hAnsi="Century Gothic"/>
          <w:iCs/>
          <w:sz w:val="20"/>
          <w:szCs w:val="20"/>
        </w:rPr>
        <w:t>ββ</w:t>
      </w:r>
      <w:proofErr w:type="spellEnd"/>
      <w:r w:rsidRPr="004635EF">
        <w:rPr>
          <w:rFonts w:ascii="Century Gothic" w:hAnsi="Century Gothic"/>
          <w:iCs/>
          <w:sz w:val="20"/>
          <w:szCs w:val="20"/>
        </w:rPr>
        <w:t>. σε κτίρια χαρακτηρισμένα ως διατηρητέα,</w:t>
      </w:r>
    </w:p>
    <w:p w14:paraId="04CA69B1" w14:textId="77777777" w:rsidR="00AC4D44"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t>γ. αφορούν σε επαναλειτουργία βιομηχανικών μονάδων, που έχουν παύσει τη λειτουργία τους δύο (2) τουλάχιστον έτη πριν την ημερομηνία υποβολής της αίτησης υπαγωγής. Η αξία του πάγιου εξοπλισμού της βιομηχανικής μονάδας, η οποία πρόκειται να επαναλειτουργήσει, πρέπει να καλύπτει ποσοστό πενήντα τοις εκατό (50%) τουλάχιστον του ενισχυόμενου κόστους του επενδυτικού σχεδίου.</w:t>
      </w:r>
    </w:p>
    <w:p w14:paraId="409A2C21" w14:textId="759BD72F" w:rsidR="00BF5100"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t xml:space="preserve">Για τα επενδυτικά σχέδια που υλοποιούνται στις Ζώνες </w:t>
      </w:r>
      <w:proofErr w:type="spellStart"/>
      <w:r w:rsidRPr="004635EF">
        <w:rPr>
          <w:rFonts w:ascii="Century Gothic" w:hAnsi="Century Gothic"/>
          <w:iCs/>
          <w:sz w:val="20"/>
          <w:szCs w:val="20"/>
        </w:rPr>
        <w:t>Απολιγνιτοποίησης</w:t>
      </w:r>
      <w:proofErr w:type="spellEnd"/>
      <w:r w:rsidRPr="004635EF">
        <w:rPr>
          <w:rFonts w:ascii="Century Gothic" w:hAnsi="Century Gothic"/>
          <w:iCs/>
          <w:sz w:val="20"/>
          <w:szCs w:val="20"/>
        </w:rPr>
        <w:t>, οι οποίες σύμφωνα με τον ν. 4759/2020 είναι οι Περιφερειακές Ενότητες Φλώρινας και Κοζάνης και ο Δήμος της Μεγαλόπολης, τα ποσοστά ενίσχυσης είναι τα ανώτατα του Χάρτη Περιφερειακών Ενισχύσεων, ανάλογα το μέγεθος της επιχείρησης.</w:t>
      </w:r>
    </w:p>
    <w:p w14:paraId="55713D08" w14:textId="77777777" w:rsidR="00AC4D44"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t>Για τα επενδυτικά σχέδια που υλοποιούνται στις Περιφερειακές Ενότητες Καστοριάς και Γρεβενών και στους Δήμους Τρίπολης, Οιχαλίας και Γορτυνίας, το ποσοστό επιχορήγησης για τις μικρές και πολύ μικρές επιχειρήσεις ορίζεται στο 90% και για τις μεσαίες και μεγάλες επιχειρήσεις το ποσοστό της φορολογικής απαλλαγής στο 90% του ανώτατου ορίου του Χάρτη Περιφερειακών Ενισχύσεων.</w:t>
      </w:r>
    </w:p>
    <w:p w14:paraId="5DCB9D7F" w14:textId="77777777" w:rsidR="00CD296D" w:rsidRPr="004635EF" w:rsidRDefault="00CD296D" w:rsidP="00624607">
      <w:pPr>
        <w:spacing w:after="120"/>
        <w:jc w:val="both"/>
        <w:rPr>
          <w:rFonts w:ascii="Century Gothic" w:hAnsi="Century Gothic"/>
          <w:b/>
          <w:bCs/>
          <w:iCs/>
          <w:sz w:val="20"/>
          <w:szCs w:val="20"/>
        </w:rPr>
      </w:pPr>
    </w:p>
    <w:p w14:paraId="32EED912" w14:textId="3BCD7CF8" w:rsidR="00AC4D44" w:rsidRPr="004635EF" w:rsidRDefault="00AC5CC6" w:rsidP="00624607">
      <w:pPr>
        <w:spacing w:after="120"/>
        <w:rPr>
          <w:rFonts w:ascii="Century Gothic" w:hAnsi="Century Gothic"/>
          <w:b/>
          <w:bCs/>
          <w:iCs/>
          <w:sz w:val="20"/>
          <w:szCs w:val="20"/>
        </w:rPr>
      </w:pPr>
      <w:r w:rsidRPr="004635EF">
        <w:rPr>
          <w:rFonts w:ascii="Century Gothic" w:hAnsi="Century Gothic"/>
          <w:b/>
          <w:bCs/>
          <w:iCs/>
          <w:sz w:val="20"/>
          <w:szCs w:val="20"/>
        </w:rPr>
        <w:t>ΑΞΙΟΛΟΓΗΣΗ ΕΠΕΝΔΥΤΙΚΩΝ ΣΧΕΔΙΩΝ</w:t>
      </w:r>
    </w:p>
    <w:p w14:paraId="6396B311" w14:textId="77777777" w:rsidR="00AC4D44"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t>Η αξιολόγηση των επενδυτικών σχεδίων εκκινεί από την ημερομηνία υποβολής της αίτησης και ολοκληρώνεται με το αποτέλεσμα του ελέγχου αξιολόγησης από την Επιτροπή Αξιολόγησης εντός προθεσμίας σαράντα πέντε (45) ημερών από τη λήξη του καθεστώτος.</w:t>
      </w:r>
    </w:p>
    <w:p w14:paraId="276074A9" w14:textId="77777777" w:rsidR="00AC4D44"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t>Οι ως άνω προθεσμίες αναστέλλονται κατά τον μήνα Αύγουστο.</w:t>
      </w:r>
    </w:p>
    <w:p w14:paraId="3A6836EF" w14:textId="25D11FFE" w:rsidR="00AC4D44"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t xml:space="preserve">Η αξιολόγηση του </w:t>
      </w:r>
      <w:r w:rsidR="00BF5100" w:rsidRPr="004635EF">
        <w:rPr>
          <w:rFonts w:ascii="Century Gothic" w:hAnsi="Century Gothic"/>
          <w:iCs/>
          <w:sz w:val="20"/>
          <w:szCs w:val="20"/>
        </w:rPr>
        <w:t>εύλογου</w:t>
      </w:r>
      <w:r w:rsidRPr="004635EF">
        <w:rPr>
          <w:rFonts w:ascii="Century Gothic" w:hAnsi="Century Gothic"/>
          <w:iCs/>
          <w:sz w:val="20"/>
          <w:szCs w:val="20"/>
        </w:rPr>
        <w:t xml:space="preserve"> κόστους και ο έλεγχος των δεικτών βαθμολογίας διενεργούνται με τη μέθοδο της συγκριτικής αξιολόγησης.</w:t>
      </w:r>
    </w:p>
    <w:p w14:paraId="170CD6EC" w14:textId="1E30DC42" w:rsidR="00B43FB7" w:rsidRPr="004635EF" w:rsidRDefault="00AC4D44" w:rsidP="00624607">
      <w:pPr>
        <w:spacing w:after="120"/>
        <w:jc w:val="both"/>
        <w:rPr>
          <w:rFonts w:ascii="Century Gothic" w:hAnsi="Century Gothic"/>
          <w:iCs/>
          <w:sz w:val="20"/>
          <w:szCs w:val="20"/>
        </w:rPr>
      </w:pPr>
      <w:r w:rsidRPr="004635EF">
        <w:rPr>
          <w:rFonts w:ascii="Century Gothic" w:hAnsi="Century Gothic"/>
          <w:iCs/>
          <w:sz w:val="20"/>
          <w:szCs w:val="20"/>
        </w:rPr>
        <w:lastRenderedPageBreak/>
        <w:t>Η ελάχιστη απαιτούμενη βαθμολογία που πρέπει να συγκεντρώσει κάθε επενδυτικό σχέδιο προκειμένου να μπορεί να συμπεριληφθεί στους πίνακες κατάταξης ανέρχεται σε </w:t>
      </w:r>
      <w:r w:rsidR="00BF5100" w:rsidRPr="00F81276">
        <w:rPr>
          <w:rFonts w:ascii="Century Gothic" w:hAnsi="Century Gothic"/>
          <w:b/>
          <w:bCs/>
          <w:iCs/>
          <w:sz w:val="20"/>
          <w:szCs w:val="20"/>
          <w:u w:val="single"/>
        </w:rPr>
        <w:t>65</w:t>
      </w:r>
      <w:r w:rsidRPr="00F81276">
        <w:rPr>
          <w:rFonts w:ascii="Century Gothic" w:hAnsi="Century Gothic"/>
          <w:b/>
          <w:bCs/>
          <w:iCs/>
          <w:sz w:val="20"/>
          <w:szCs w:val="20"/>
          <w:u w:val="single"/>
        </w:rPr>
        <w:t> βαθμούς</w:t>
      </w:r>
      <w:r w:rsidRPr="004635EF">
        <w:rPr>
          <w:rFonts w:ascii="Century Gothic" w:hAnsi="Century Gothic"/>
          <w:iCs/>
          <w:sz w:val="20"/>
          <w:szCs w:val="20"/>
        </w:rPr>
        <w:t>.</w:t>
      </w:r>
    </w:p>
    <w:sectPr w:rsidR="00B43FB7" w:rsidRPr="004635EF" w:rsidSect="00AE7E24">
      <w:headerReference w:type="default" r:id="rId8"/>
      <w:footerReference w:type="default" r:id="rId9"/>
      <w:pgSz w:w="11906" w:h="16838"/>
      <w:pgMar w:top="1440" w:right="1800" w:bottom="1440" w:left="1800"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7B54" w14:textId="77777777" w:rsidR="00D864D2" w:rsidRDefault="00D864D2" w:rsidP="00AE7E24">
      <w:pPr>
        <w:spacing w:after="0" w:line="240" w:lineRule="auto"/>
      </w:pPr>
      <w:r>
        <w:separator/>
      </w:r>
    </w:p>
  </w:endnote>
  <w:endnote w:type="continuationSeparator" w:id="0">
    <w:p w14:paraId="61982FDB" w14:textId="77777777" w:rsidR="00D864D2" w:rsidRDefault="00D864D2" w:rsidP="00AE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B555" w14:textId="77777777" w:rsidR="00AE7E24" w:rsidRDefault="00AE7E24"/>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2"/>
      <w:gridCol w:w="334"/>
    </w:tblGrid>
    <w:tr w:rsidR="00AE7E24" w:rsidRPr="00AE7E24" w14:paraId="78E04F80" w14:textId="77777777" w:rsidTr="003C4585">
      <w:trPr>
        <w:jc w:val="center"/>
      </w:trPr>
      <w:tc>
        <w:tcPr>
          <w:tcW w:w="7972" w:type="dxa"/>
          <w:vAlign w:val="bottom"/>
        </w:tcPr>
        <w:p w14:paraId="464222FA" w14:textId="5A0BE1CB" w:rsidR="00E95871" w:rsidRPr="006F262B" w:rsidRDefault="005C5436" w:rsidP="00E95871">
          <w:pPr>
            <w:pStyle w:val="a7"/>
            <w:jc w:val="center"/>
            <w:rPr>
              <w:rFonts w:ascii="Century Gothic" w:hAnsi="Century Gothic"/>
              <w:b/>
              <w:bCs/>
              <w:color w:val="7F7F7F" w:themeColor="text1" w:themeTint="80"/>
              <w:sz w:val="16"/>
              <w:szCs w:val="20"/>
            </w:rPr>
          </w:pPr>
          <w:r>
            <w:rPr>
              <w:rFonts w:ascii="Century Gothic" w:hAnsi="Century Gothic"/>
              <w:b/>
              <w:bCs/>
              <w:color w:val="7F7F7F" w:themeColor="text1" w:themeTint="80"/>
              <w:sz w:val="16"/>
              <w:szCs w:val="20"/>
            </w:rPr>
            <w:t>Μιχαήλ Ψελλού 13</w:t>
          </w:r>
          <w:r w:rsidR="00E95871" w:rsidRPr="006F262B">
            <w:rPr>
              <w:rFonts w:ascii="Century Gothic" w:hAnsi="Century Gothic"/>
              <w:b/>
              <w:bCs/>
              <w:color w:val="7F7F7F" w:themeColor="text1" w:themeTint="80"/>
              <w:sz w:val="16"/>
              <w:szCs w:val="20"/>
            </w:rPr>
            <w:t>, ΚΑΛΑΜΑΡΙΑ, ΘΕΣΣΑΛΟΝΙΚΗ| Τ.Κ. 5</w:t>
          </w:r>
          <w:r>
            <w:rPr>
              <w:rFonts w:ascii="Century Gothic" w:hAnsi="Century Gothic"/>
              <w:b/>
              <w:bCs/>
              <w:color w:val="7F7F7F" w:themeColor="text1" w:themeTint="80"/>
              <w:sz w:val="16"/>
              <w:szCs w:val="20"/>
            </w:rPr>
            <w:t>4655</w:t>
          </w:r>
          <w:r w:rsidR="00E95871" w:rsidRPr="006F262B">
            <w:rPr>
              <w:rFonts w:ascii="Century Gothic" w:hAnsi="Century Gothic"/>
              <w:b/>
              <w:bCs/>
              <w:color w:val="7F7F7F" w:themeColor="text1" w:themeTint="80"/>
              <w:sz w:val="16"/>
              <w:szCs w:val="20"/>
            </w:rPr>
            <w:t xml:space="preserve">| ΤΗΛ. 2310 471721 </w:t>
          </w:r>
        </w:p>
        <w:p w14:paraId="7244B2E6" w14:textId="77777777" w:rsidR="00E95871" w:rsidRPr="006F262B" w:rsidRDefault="00E95871" w:rsidP="00E95871">
          <w:pPr>
            <w:pStyle w:val="a7"/>
            <w:jc w:val="center"/>
            <w:rPr>
              <w:b/>
              <w:bCs/>
              <w:color w:val="7F7F7F" w:themeColor="text1" w:themeTint="80"/>
              <w:sz w:val="28"/>
              <w:szCs w:val="28"/>
            </w:rPr>
          </w:pPr>
          <w:r w:rsidRPr="006F262B">
            <w:rPr>
              <w:rFonts w:ascii="Century Gothic" w:hAnsi="Century Gothic"/>
              <w:b/>
              <w:bCs/>
              <w:color w:val="7F7F7F" w:themeColor="text1" w:themeTint="80"/>
              <w:sz w:val="18"/>
            </w:rPr>
            <w:t xml:space="preserve"> </w:t>
          </w:r>
          <w:r w:rsidRPr="006F262B">
            <w:rPr>
              <w:rFonts w:ascii="Century Gothic" w:hAnsi="Century Gothic"/>
              <w:b/>
              <w:bCs/>
              <w:color w:val="7F7F7F" w:themeColor="text1" w:themeTint="80"/>
              <w:sz w:val="18"/>
              <w:lang w:val="en-US"/>
            </w:rPr>
            <w:t>info</w:t>
          </w:r>
          <w:r w:rsidRPr="006F262B">
            <w:rPr>
              <w:rFonts w:ascii="Century Gothic" w:hAnsi="Century Gothic"/>
              <w:b/>
              <w:bCs/>
              <w:color w:val="7F7F7F" w:themeColor="text1" w:themeTint="80"/>
              <w:sz w:val="18"/>
            </w:rPr>
            <w:t>@</w:t>
          </w:r>
          <w:proofErr w:type="spellStart"/>
          <w:r w:rsidRPr="006F262B">
            <w:rPr>
              <w:rFonts w:ascii="Century Gothic" w:hAnsi="Century Gothic"/>
              <w:b/>
              <w:bCs/>
              <w:color w:val="7F7F7F" w:themeColor="text1" w:themeTint="80"/>
              <w:sz w:val="18"/>
              <w:lang w:val="en-US"/>
            </w:rPr>
            <w:t>emetris</w:t>
          </w:r>
          <w:proofErr w:type="spellEnd"/>
          <w:r w:rsidRPr="006F262B">
            <w:rPr>
              <w:rFonts w:ascii="Century Gothic" w:hAnsi="Century Gothic"/>
              <w:b/>
              <w:bCs/>
              <w:color w:val="7F7F7F" w:themeColor="text1" w:themeTint="80"/>
              <w:sz w:val="18"/>
            </w:rPr>
            <w:t>.</w:t>
          </w:r>
          <w:r w:rsidRPr="006F262B">
            <w:rPr>
              <w:rFonts w:ascii="Century Gothic" w:hAnsi="Century Gothic"/>
              <w:b/>
              <w:bCs/>
              <w:color w:val="7F7F7F" w:themeColor="text1" w:themeTint="80"/>
              <w:sz w:val="18"/>
              <w:lang w:val="en-US"/>
            </w:rPr>
            <w:t>gr</w:t>
          </w:r>
        </w:p>
        <w:p w14:paraId="6EB91875" w14:textId="77777777" w:rsidR="00AE7E24" w:rsidRPr="00AE7E24" w:rsidRDefault="00AE7E24" w:rsidP="00311952">
          <w:pPr>
            <w:pStyle w:val="a7"/>
            <w:jc w:val="center"/>
          </w:pPr>
        </w:p>
      </w:tc>
      <w:tc>
        <w:tcPr>
          <w:tcW w:w="334" w:type="dxa"/>
        </w:tcPr>
        <w:sdt>
          <w:sdtPr>
            <w:id w:val="26984960"/>
            <w:docPartObj>
              <w:docPartGallery w:val="Page Numbers (Bottom of Page)"/>
              <w:docPartUnique/>
            </w:docPartObj>
          </w:sdtPr>
          <w:sdtContent>
            <w:p w14:paraId="4DEC2F53" w14:textId="77777777" w:rsidR="00AE7E24" w:rsidRPr="00AE7E24" w:rsidRDefault="00AE7E24" w:rsidP="00B82F23">
              <w:pPr>
                <w:pStyle w:val="a7"/>
                <w:jc w:val="right"/>
              </w:pPr>
              <w:r w:rsidRPr="00311952">
                <w:rPr>
                  <w:rFonts w:ascii="Century Gothic" w:hAnsi="Century Gothic"/>
                  <w:sz w:val="19"/>
                  <w:szCs w:val="19"/>
                </w:rPr>
                <w:fldChar w:fldCharType="begin"/>
              </w:r>
              <w:r w:rsidRPr="00311952">
                <w:rPr>
                  <w:rFonts w:ascii="Century Gothic" w:hAnsi="Century Gothic"/>
                  <w:sz w:val="19"/>
                  <w:szCs w:val="19"/>
                </w:rPr>
                <w:instrText xml:space="preserve"> PAGE   \* MERGEFORMAT </w:instrText>
              </w:r>
              <w:r w:rsidRPr="00311952">
                <w:rPr>
                  <w:rFonts w:ascii="Century Gothic" w:hAnsi="Century Gothic"/>
                  <w:sz w:val="19"/>
                  <w:szCs w:val="19"/>
                </w:rPr>
                <w:fldChar w:fldCharType="separate"/>
              </w:r>
              <w:r w:rsidR="00CE4326">
                <w:rPr>
                  <w:rFonts w:ascii="Century Gothic" w:hAnsi="Century Gothic"/>
                  <w:noProof/>
                  <w:sz w:val="19"/>
                  <w:szCs w:val="19"/>
                </w:rPr>
                <w:t>4</w:t>
              </w:r>
              <w:r w:rsidRPr="00311952">
                <w:rPr>
                  <w:rFonts w:ascii="Century Gothic" w:hAnsi="Century Gothic"/>
                  <w:sz w:val="19"/>
                  <w:szCs w:val="19"/>
                </w:rPr>
                <w:fldChar w:fldCharType="end"/>
              </w:r>
            </w:p>
          </w:sdtContent>
        </w:sdt>
      </w:tc>
    </w:tr>
  </w:tbl>
  <w:p w14:paraId="5056E539" w14:textId="77777777" w:rsidR="00AE7E24" w:rsidRDefault="00AE7E24" w:rsidP="00AE7E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5ED5" w14:textId="77777777" w:rsidR="00D864D2" w:rsidRDefault="00D864D2" w:rsidP="00AE7E24">
      <w:pPr>
        <w:spacing w:after="0" w:line="240" w:lineRule="auto"/>
      </w:pPr>
      <w:r>
        <w:separator/>
      </w:r>
    </w:p>
  </w:footnote>
  <w:footnote w:type="continuationSeparator" w:id="0">
    <w:p w14:paraId="692F78F7" w14:textId="77777777" w:rsidR="00D864D2" w:rsidRDefault="00D864D2" w:rsidP="00AE7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835F" w14:textId="77777777" w:rsidR="00AE7E24" w:rsidRDefault="00AE7E24" w:rsidP="00AE7E24">
    <w:pPr>
      <w:pStyle w:val="a6"/>
      <w:jc w:val="center"/>
    </w:pPr>
    <w:r w:rsidRPr="00AE7E24">
      <w:rPr>
        <w:noProof/>
        <w:lang w:eastAsia="el-GR"/>
      </w:rPr>
      <w:drawing>
        <wp:inline distT="0" distB="0" distL="0" distR="0" wp14:anchorId="371FD16E" wp14:editId="5AB22966">
          <wp:extent cx="1043940" cy="391160"/>
          <wp:effectExtent l="0" t="0" r="3810" b="8890"/>
          <wp:docPr id="1" name="CEC44A31-AF88-449D-8651-1C6CC5EB083B" descr="cid:90221E35-4101-4339-ABEF-46BC6B74B1FA@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C44A31-AF88-449D-8651-1C6CC5EB083B" descr="cid:90221E35-4101-4339-ABEF-46BC6B74B1FA@Hom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043940" cy="3911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B58"/>
    <w:multiLevelType w:val="hybridMultilevel"/>
    <w:tmpl w:val="661492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2228B4"/>
    <w:multiLevelType w:val="hybridMultilevel"/>
    <w:tmpl w:val="7AB6F4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F32D20"/>
    <w:multiLevelType w:val="hybridMultilevel"/>
    <w:tmpl w:val="A4FA8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274148C"/>
    <w:multiLevelType w:val="hybridMultilevel"/>
    <w:tmpl w:val="C44C1F5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4DA201A"/>
    <w:multiLevelType w:val="hybridMultilevel"/>
    <w:tmpl w:val="969C44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07343C"/>
    <w:multiLevelType w:val="hybridMultilevel"/>
    <w:tmpl w:val="455A10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6A70AFF"/>
    <w:multiLevelType w:val="hybridMultilevel"/>
    <w:tmpl w:val="2A3CA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A253FB"/>
    <w:multiLevelType w:val="hybridMultilevel"/>
    <w:tmpl w:val="2A2AD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424D25"/>
    <w:multiLevelType w:val="hybridMultilevel"/>
    <w:tmpl w:val="8FC62A86"/>
    <w:lvl w:ilvl="0" w:tplc="04080001">
      <w:start w:val="1"/>
      <w:numFmt w:val="bullet"/>
      <w:lvlText w:val=""/>
      <w:lvlJc w:val="left"/>
      <w:pPr>
        <w:ind w:left="720" w:hanging="360"/>
      </w:pPr>
      <w:rPr>
        <w:rFonts w:ascii="Symbol" w:hAnsi="Symbol" w:hint="default"/>
      </w:rPr>
    </w:lvl>
    <w:lvl w:ilvl="1" w:tplc="AB8484FA">
      <w:start w:val="50"/>
      <w:numFmt w:val="bullet"/>
      <w:lvlText w:val="·"/>
      <w:lvlJc w:val="left"/>
      <w:pPr>
        <w:ind w:left="1680" w:hanging="600"/>
      </w:pPr>
      <w:rPr>
        <w:rFonts w:ascii="Century Gothic" w:eastAsiaTheme="minorHAnsi" w:hAnsi="Century Gothic"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C417EA3"/>
    <w:multiLevelType w:val="hybridMultilevel"/>
    <w:tmpl w:val="218425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CBD7CE7"/>
    <w:multiLevelType w:val="hybridMultilevel"/>
    <w:tmpl w:val="EA8A5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DB34F1"/>
    <w:multiLevelType w:val="hybridMultilevel"/>
    <w:tmpl w:val="94BEE1C4"/>
    <w:lvl w:ilvl="0" w:tplc="2530011C">
      <w:start w:val="1"/>
      <w:numFmt w:val="bullet"/>
      <w:lvlText w:val="-"/>
      <w:lvlJc w:val="left"/>
      <w:pPr>
        <w:ind w:left="1440" w:hanging="360"/>
      </w:pPr>
      <w:rPr>
        <w:rFonts w:ascii="Calibri" w:hAnsi="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45050FD7"/>
    <w:multiLevelType w:val="hybridMultilevel"/>
    <w:tmpl w:val="C3702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6F56043"/>
    <w:multiLevelType w:val="hybridMultilevel"/>
    <w:tmpl w:val="57D286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0871E0A"/>
    <w:multiLevelType w:val="hybridMultilevel"/>
    <w:tmpl w:val="459E41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F76007B"/>
    <w:multiLevelType w:val="hybridMultilevel"/>
    <w:tmpl w:val="5316D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9B43DE"/>
    <w:multiLevelType w:val="hybridMultilevel"/>
    <w:tmpl w:val="C6DA48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9C90BD8"/>
    <w:multiLevelType w:val="hybridMultilevel"/>
    <w:tmpl w:val="42FE5FE6"/>
    <w:lvl w:ilvl="0" w:tplc="2530011C">
      <w:start w:val="1"/>
      <w:numFmt w:val="bullet"/>
      <w:lvlText w:val="-"/>
      <w:lvlJc w:val="left"/>
      <w:pPr>
        <w:ind w:left="1440" w:hanging="360"/>
      </w:pPr>
      <w:rPr>
        <w:rFonts w:ascii="Calibri" w:hAnsi="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F2A5EA7"/>
    <w:multiLevelType w:val="hybridMultilevel"/>
    <w:tmpl w:val="D2BAE0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BC45C1B"/>
    <w:multiLevelType w:val="hybridMultilevel"/>
    <w:tmpl w:val="874CD7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08431107">
    <w:abstractNumId w:val="10"/>
  </w:num>
  <w:num w:numId="2" w16cid:durableId="1139611358">
    <w:abstractNumId w:val="2"/>
  </w:num>
  <w:num w:numId="3" w16cid:durableId="1547377902">
    <w:abstractNumId w:val="9"/>
  </w:num>
  <w:num w:numId="4" w16cid:durableId="16586473">
    <w:abstractNumId w:val="18"/>
  </w:num>
  <w:num w:numId="5" w16cid:durableId="826819400">
    <w:abstractNumId w:val="3"/>
  </w:num>
  <w:num w:numId="6" w16cid:durableId="306789484">
    <w:abstractNumId w:val="5"/>
  </w:num>
  <w:num w:numId="7" w16cid:durableId="1888027438">
    <w:abstractNumId w:val="19"/>
  </w:num>
  <w:num w:numId="8" w16cid:durableId="1982997258">
    <w:abstractNumId w:val="13"/>
  </w:num>
  <w:num w:numId="9" w16cid:durableId="1635940900">
    <w:abstractNumId w:val="14"/>
  </w:num>
  <w:num w:numId="10" w16cid:durableId="652219110">
    <w:abstractNumId w:val="12"/>
  </w:num>
  <w:num w:numId="11" w16cid:durableId="1110010321">
    <w:abstractNumId w:val="6"/>
  </w:num>
  <w:num w:numId="12" w16cid:durableId="1126241867">
    <w:abstractNumId w:val="17"/>
  </w:num>
  <w:num w:numId="13" w16cid:durableId="1207378850">
    <w:abstractNumId w:val="4"/>
  </w:num>
  <w:num w:numId="14" w16cid:durableId="1246770101">
    <w:abstractNumId w:val="8"/>
  </w:num>
  <w:num w:numId="15" w16cid:durableId="46220739">
    <w:abstractNumId w:val="11"/>
  </w:num>
  <w:num w:numId="16" w16cid:durableId="331222538">
    <w:abstractNumId w:val="15"/>
  </w:num>
  <w:num w:numId="17" w16cid:durableId="1424254218">
    <w:abstractNumId w:val="7"/>
  </w:num>
  <w:num w:numId="18" w16cid:durableId="1568035057">
    <w:abstractNumId w:val="0"/>
  </w:num>
  <w:num w:numId="19" w16cid:durableId="564336217">
    <w:abstractNumId w:val="1"/>
  </w:num>
  <w:num w:numId="20" w16cid:durableId="8929329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67"/>
    <w:rsid w:val="000004F7"/>
    <w:rsid w:val="000017D3"/>
    <w:rsid w:val="00001879"/>
    <w:rsid w:val="00004A71"/>
    <w:rsid w:val="00013106"/>
    <w:rsid w:val="000436F0"/>
    <w:rsid w:val="00046B4B"/>
    <w:rsid w:val="0005474E"/>
    <w:rsid w:val="00062658"/>
    <w:rsid w:val="0008057C"/>
    <w:rsid w:val="000A4765"/>
    <w:rsid w:val="000A7779"/>
    <w:rsid w:val="000B4FFC"/>
    <w:rsid w:val="000B5BEB"/>
    <w:rsid w:val="000D2C4C"/>
    <w:rsid w:val="000E1148"/>
    <w:rsid w:val="000E5A47"/>
    <w:rsid w:val="000F2E33"/>
    <w:rsid w:val="000F69C0"/>
    <w:rsid w:val="00101F9F"/>
    <w:rsid w:val="0010488E"/>
    <w:rsid w:val="001048A5"/>
    <w:rsid w:val="001219E4"/>
    <w:rsid w:val="00122981"/>
    <w:rsid w:val="00122F0C"/>
    <w:rsid w:val="001233ED"/>
    <w:rsid w:val="00127A95"/>
    <w:rsid w:val="00134952"/>
    <w:rsid w:val="001349CE"/>
    <w:rsid w:val="0015495E"/>
    <w:rsid w:val="00165AF2"/>
    <w:rsid w:val="001730B8"/>
    <w:rsid w:val="00175B07"/>
    <w:rsid w:val="00176216"/>
    <w:rsid w:val="00182436"/>
    <w:rsid w:val="001903AD"/>
    <w:rsid w:val="001A03FC"/>
    <w:rsid w:val="001B5234"/>
    <w:rsid w:val="001C6362"/>
    <w:rsid w:val="001C7FAE"/>
    <w:rsid w:val="001D00DF"/>
    <w:rsid w:val="001D338A"/>
    <w:rsid w:val="001D732D"/>
    <w:rsid w:val="001E527E"/>
    <w:rsid w:val="001F0443"/>
    <w:rsid w:val="0020265A"/>
    <w:rsid w:val="00220FD0"/>
    <w:rsid w:val="00222648"/>
    <w:rsid w:val="00223321"/>
    <w:rsid w:val="00225EA2"/>
    <w:rsid w:val="002426A3"/>
    <w:rsid w:val="00250C07"/>
    <w:rsid w:val="00260ADF"/>
    <w:rsid w:val="0026539A"/>
    <w:rsid w:val="002719AE"/>
    <w:rsid w:val="00271A8F"/>
    <w:rsid w:val="0027452D"/>
    <w:rsid w:val="00281D00"/>
    <w:rsid w:val="00282901"/>
    <w:rsid w:val="00286C14"/>
    <w:rsid w:val="002A2E3B"/>
    <w:rsid w:val="002A599E"/>
    <w:rsid w:val="002A59C6"/>
    <w:rsid w:val="002C48A6"/>
    <w:rsid w:val="002D05C5"/>
    <w:rsid w:val="002D554A"/>
    <w:rsid w:val="002D7B65"/>
    <w:rsid w:val="002E66F6"/>
    <w:rsid w:val="002F2A0C"/>
    <w:rsid w:val="00311952"/>
    <w:rsid w:val="003373E8"/>
    <w:rsid w:val="00346C7F"/>
    <w:rsid w:val="00347C7A"/>
    <w:rsid w:val="00351AC3"/>
    <w:rsid w:val="00352E92"/>
    <w:rsid w:val="00370108"/>
    <w:rsid w:val="0037766A"/>
    <w:rsid w:val="00396E52"/>
    <w:rsid w:val="003B12BD"/>
    <w:rsid w:val="003C403A"/>
    <w:rsid w:val="003C4585"/>
    <w:rsid w:val="003C4923"/>
    <w:rsid w:val="003C559B"/>
    <w:rsid w:val="003C683E"/>
    <w:rsid w:val="003C6C6E"/>
    <w:rsid w:val="003D00A7"/>
    <w:rsid w:val="00400E5C"/>
    <w:rsid w:val="004056BE"/>
    <w:rsid w:val="004071D4"/>
    <w:rsid w:val="0040722C"/>
    <w:rsid w:val="0040789B"/>
    <w:rsid w:val="00412F17"/>
    <w:rsid w:val="004177DB"/>
    <w:rsid w:val="004227E1"/>
    <w:rsid w:val="00426CB9"/>
    <w:rsid w:val="00432486"/>
    <w:rsid w:val="0043671E"/>
    <w:rsid w:val="00453D6F"/>
    <w:rsid w:val="0045453C"/>
    <w:rsid w:val="004635EF"/>
    <w:rsid w:val="00484EEF"/>
    <w:rsid w:val="00491BC5"/>
    <w:rsid w:val="00493CE3"/>
    <w:rsid w:val="00495CA7"/>
    <w:rsid w:val="00497153"/>
    <w:rsid w:val="004A2AC1"/>
    <w:rsid w:val="004A46A7"/>
    <w:rsid w:val="004A6CED"/>
    <w:rsid w:val="004B37D9"/>
    <w:rsid w:val="004D2597"/>
    <w:rsid w:val="004E5EDB"/>
    <w:rsid w:val="004E7E56"/>
    <w:rsid w:val="00507E9E"/>
    <w:rsid w:val="00511F8F"/>
    <w:rsid w:val="005152AC"/>
    <w:rsid w:val="00520943"/>
    <w:rsid w:val="00530D52"/>
    <w:rsid w:val="0053136D"/>
    <w:rsid w:val="00533594"/>
    <w:rsid w:val="005337B8"/>
    <w:rsid w:val="00534CDC"/>
    <w:rsid w:val="00536538"/>
    <w:rsid w:val="005719E6"/>
    <w:rsid w:val="00580C7B"/>
    <w:rsid w:val="00597950"/>
    <w:rsid w:val="005A7A47"/>
    <w:rsid w:val="005C348E"/>
    <w:rsid w:val="005C5436"/>
    <w:rsid w:val="005E073B"/>
    <w:rsid w:val="005E5B97"/>
    <w:rsid w:val="005E6813"/>
    <w:rsid w:val="005F3B5C"/>
    <w:rsid w:val="005F4091"/>
    <w:rsid w:val="005F4B33"/>
    <w:rsid w:val="0060254B"/>
    <w:rsid w:val="00605061"/>
    <w:rsid w:val="006177AC"/>
    <w:rsid w:val="00624607"/>
    <w:rsid w:val="00656FFA"/>
    <w:rsid w:val="00661BB0"/>
    <w:rsid w:val="0067139E"/>
    <w:rsid w:val="00671F52"/>
    <w:rsid w:val="0068662D"/>
    <w:rsid w:val="00691E6B"/>
    <w:rsid w:val="00694E64"/>
    <w:rsid w:val="00695527"/>
    <w:rsid w:val="00697252"/>
    <w:rsid w:val="006B246A"/>
    <w:rsid w:val="006C4C30"/>
    <w:rsid w:val="006F1373"/>
    <w:rsid w:val="006F262B"/>
    <w:rsid w:val="00713560"/>
    <w:rsid w:val="007402F7"/>
    <w:rsid w:val="00740EB7"/>
    <w:rsid w:val="00744C1D"/>
    <w:rsid w:val="00753E8E"/>
    <w:rsid w:val="0076417C"/>
    <w:rsid w:val="007762C3"/>
    <w:rsid w:val="007779C8"/>
    <w:rsid w:val="00780FB6"/>
    <w:rsid w:val="007910FA"/>
    <w:rsid w:val="007A1DA3"/>
    <w:rsid w:val="007B6BD1"/>
    <w:rsid w:val="007D0A93"/>
    <w:rsid w:val="007D1B8C"/>
    <w:rsid w:val="007D23F0"/>
    <w:rsid w:val="007D4DE4"/>
    <w:rsid w:val="007D782C"/>
    <w:rsid w:val="007E52B5"/>
    <w:rsid w:val="007F6B7C"/>
    <w:rsid w:val="007F7B3A"/>
    <w:rsid w:val="0080633E"/>
    <w:rsid w:val="00810A70"/>
    <w:rsid w:val="008118E7"/>
    <w:rsid w:val="00885668"/>
    <w:rsid w:val="008A222D"/>
    <w:rsid w:val="008A3DB4"/>
    <w:rsid w:val="008A5CC2"/>
    <w:rsid w:val="008C7818"/>
    <w:rsid w:val="008C79E9"/>
    <w:rsid w:val="008D6A05"/>
    <w:rsid w:val="008E4736"/>
    <w:rsid w:val="008F2DF3"/>
    <w:rsid w:val="00927E3A"/>
    <w:rsid w:val="0094485D"/>
    <w:rsid w:val="00965C74"/>
    <w:rsid w:val="0098040F"/>
    <w:rsid w:val="009900F7"/>
    <w:rsid w:val="00990A8D"/>
    <w:rsid w:val="009B0CBB"/>
    <w:rsid w:val="009C50B4"/>
    <w:rsid w:val="009C6FD2"/>
    <w:rsid w:val="009F13D8"/>
    <w:rsid w:val="009F4598"/>
    <w:rsid w:val="009F5CBC"/>
    <w:rsid w:val="00A04F65"/>
    <w:rsid w:val="00A152DE"/>
    <w:rsid w:val="00A371AF"/>
    <w:rsid w:val="00A51F82"/>
    <w:rsid w:val="00A52428"/>
    <w:rsid w:val="00A53D2E"/>
    <w:rsid w:val="00A568EC"/>
    <w:rsid w:val="00A62C50"/>
    <w:rsid w:val="00A74800"/>
    <w:rsid w:val="00A819AC"/>
    <w:rsid w:val="00A83076"/>
    <w:rsid w:val="00A837D0"/>
    <w:rsid w:val="00A91CC3"/>
    <w:rsid w:val="00AA7018"/>
    <w:rsid w:val="00AB76EC"/>
    <w:rsid w:val="00AC0CAF"/>
    <w:rsid w:val="00AC1AA2"/>
    <w:rsid w:val="00AC4D44"/>
    <w:rsid w:val="00AC5CC6"/>
    <w:rsid w:val="00AC62B6"/>
    <w:rsid w:val="00AD0C55"/>
    <w:rsid w:val="00AD4826"/>
    <w:rsid w:val="00AE7E24"/>
    <w:rsid w:val="00AF47A3"/>
    <w:rsid w:val="00B1140F"/>
    <w:rsid w:val="00B21277"/>
    <w:rsid w:val="00B30E1F"/>
    <w:rsid w:val="00B43FB7"/>
    <w:rsid w:val="00B55D00"/>
    <w:rsid w:val="00B574A6"/>
    <w:rsid w:val="00B76B6D"/>
    <w:rsid w:val="00B85D91"/>
    <w:rsid w:val="00BC1039"/>
    <w:rsid w:val="00BF5100"/>
    <w:rsid w:val="00C17AEB"/>
    <w:rsid w:val="00C30241"/>
    <w:rsid w:val="00C364F0"/>
    <w:rsid w:val="00C453A2"/>
    <w:rsid w:val="00C50BC9"/>
    <w:rsid w:val="00C541E6"/>
    <w:rsid w:val="00C90F63"/>
    <w:rsid w:val="00CB137D"/>
    <w:rsid w:val="00CB4E99"/>
    <w:rsid w:val="00CB79E5"/>
    <w:rsid w:val="00CD296D"/>
    <w:rsid w:val="00CE4326"/>
    <w:rsid w:val="00CF1792"/>
    <w:rsid w:val="00D022EB"/>
    <w:rsid w:val="00D142CA"/>
    <w:rsid w:val="00D224B0"/>
    <w:rsid w:val="00D26627"/>
    <w:rsid w:val="00D27018"/>
    <w:rsid w:val="00D37622"/>
    <w:rsid w:val="00D526EE"/>
    <w:rsid w:val="00D72073"/>
    <w:rsid w:val="00D75975"/>
    <w:rsid w:val="00D76C55"/>
    <w:rsid w:val="00D80FC4"/>
    <w:rsid w:val="00D864D2"/>
    <w:rsid w:val="00D868D4"/>
    <w:rsid w:val="00DC2125"/>
    <w:rsid w:val="00DC2453"/>
    <w:rsid w:val="00DC5A20"/>
    <w:rsid w:val="00DF0A54"/>
    <w:rsid w:val="00E01CA3"/>
    <w:rsid w:val="00E1614C"/>
    <w:rsid w:val="00E171AC"/>
    <w:rsid w:val="00E306BA"/>
    <w:rsid w:val="00E328CA"/>
    <w:rsid w:val="00E53167"/>
    <w:rsid w:val="00E55477"/>
    <w:rsid w:val="00E76D9B"/>
    <w:rsid w:val="00E840F9"/>
    <w:rsid w:val="00E95871"/>
    <w:rsid w:val="00EA0860"/>
    <w:rsid w:val="00EA43C9"/>
    <w:rsid w:val="00EB3E0B"/>
    <w:rsid w:val="00EB6D1E"/>
    <w:rsid w:val="00EC52D2"/>
    <w:rsid w:val="00ED0CB0"/>
    <w:rsid w:val="00EF5385"/>
    <w:rsid w:val="00F11BD3"/>
    <w:rsid w:val="00F23371"/>
    <w:rsid w:val="00F32D26"/>
    <w:rsid w:val="00F429B3"/>
    <w:rsid w:val="00F614AF"/>
    <w:rsid w:val="00F6213B"/>
    <w:rsid w:val="00F66C0F"/>
    <w:rsid w:val="00F81276"/>
    <w:rsid w:val="00F85F03"/>
    <w:rsid w:val="00FC3836"/>
    <w:rsid w:val="00FD2028"/>
    <w:rsid w:val="00FD5B94"/>
    <w:rsid w:val="00FE1EAD"/>
    <w:rsid w:val="00FF3661"/>
    <w:rsid w:val="00FF68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1FE5"/>
  <w15:docId w15:val="{B8AD4CB6-9E5A-4650-AFC0-2710AD53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9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950"/>
    <w:pPr>
      <w:ind w:left="720"/>
      <w:contextualSpacing/>
    </w:pPr>
  </w:style>
  <w:style w:type="paragraph" w:styleId="Web">
    <w:name w:val="Normal (Web)"/>
    <w:basedOn w:val="a"/>
    <w:uiPriority w:val="99"/>
    <w:unhideWhenUsed/>
    <w:rsid w:val="00122981"/>
    <w:pPr>
      <w:spacing w:before="100" w:beforeAutospacing="1" w:after="100" w:afterAutospacing="1" w:line="240" w:lineRule="auto"/>
    </w:pPr>
    <w:rPr>
      <w:rFonts w:ascii="Times New Roman" w:hAnsi="Times New Roman" w:cs="Times New Roman"/>
      <w:sz w:val="24"/>
      <w:szCs w:val="24"/>
      <w:lang w:eastAsia="el-GR"/>
    </w:rPr>
  </w:style>
  <w:style w:type="character" w:styleId="a4">
    <w:name w:val="Strong"/>
    <w:basedOn w:val="a0"/>
    <w:uiPriority w:val="22"/>
    <w:qFormat/>
    <w:rsid w:val="00D26627"/>
    <w:rPr>
      <w:b/>
      <w:bCs/>
    </w:rPr>
  </w:style>
  <w:style w:type="character" w:styleId="a5">
    <w:name w:val="Emphasis"/>
    <w:basedOn w:val="a0"/>
    <w:uiPriority w:val="20"/>
    <w:qFormat/>
    <w:rsid w:val="00B43FB7"/>
    <w:rPr>
      <w:i/>
      <w:iCs/>
    </w:rPr>
  </w:style>
  <w:style w:type="paragraph" w:styleId="a6">
    <w:name w:val="header"/>
    <w:basedOn w:val="a"/>
    <w:link w:val="Char"/>
    <w:uiPriority w:val="99"/>
    <w:unhideWhenUsed/>
    <w:rsid w:val="00AE7E24"/>
    <w:pPr>
      <w:tabs>
        <w:tab w:val="center" w:pos="4153"/>
        <w:tab w:val="right" w:pos="8306"/>
      </w:tabs>
      <w:spacing w:after="0" w:line="240" w:lineRule="auto"/>
    </w:pPr>
  </w:style>
  <w:style w:type="character" w:customStyle="1" w:styleId="Char">
    <w:name w:val="Κεφαλίδα Char"/>
    <w:basedOn w:val="a0"/>
    <w:link w:val="a6"/>
    <w:uiPriority w:val="99"/>
    <w:rsid w:val="00AE7E24"/>
  </w:style>
  <w:style w:type="paragraph" w:styleId="a7">
    <w:name w:val="footer"/>
    <w:basedOn w:val="a"/>
    <w:link w:val="Char0"/>
    <w:uiPriority w:val="99"/>
    <w:unhideWhenUsed/>
    <w:rsid w:val="00AE7E24"/>
    <w:pPr>
      <w:tabs>
        <w:tab w:val="center" w:pos="4153"/>
        <w:tab w:val="right" w:pos="8306"/>
      </w:tabs>
      <w:spacing w:after="0" w:line="240" w:lineRule="auto"/>
    </w:pPr>
  </w:style>
  <w:style w:type="character" w:customStyle="1" w:styleId="Char0">
    <w:name w:val="Υποσέλιδο Char"/>
    <w:basedOn w:val="a0"/>
    <w:link w:val="a7"/>
    <w:uiPriority w:val="99"/>
    <w:rsid w:val="00AE7E24"/>
  </w:style>
  <w:style w:type="paragraph" w:styleId="a8">
    <w:name w:val="Balloon Text"/>
    <w:basedOn w:val="a"/>
    <w:link w:val="Char1"/>
    <w:uiPriority w:val="99"/>
    <w:semiHidden/>
    <w:unhideWhenUsed/>
    <w:rsid w:val="00AE7E24"/>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AE7E24"/>
    <w:rPr>
      <w:rFonts w:ascii="Tahoma" w:hAnsi="Tahoma" w:cs="Tahoma"/>
      <w:sz w:val="16"/>
      <w:szCs w:val="16"/>
    </w:rPr>
  </w:style>
  <w:style w:type="table" w:styleId="a9">
    <w:name w:val="Table Grid"/>
    <w:basedOn w:val="a1"/>
    <w:uiPriority w:val="59"/>
    <w:rsid w:val="00AE7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Char2"/>
    <w:uiPriority w:val="1"/>
    <w:qFormat/>
    <w:rsid w:val="000436F0"/>
    <w:pPr>
      <w:spacing w:after="0" w:line="240" w:lineRule="auto"/>
    </w:pPr>
    <w:rPr>
      <w:rFonts w:eastAsiaTheme="minorEastAsia"/>
    </w:rPr>
  </w:style>
  <w:style w:type="character" w:customStyle="1" w:styleId="Char2">
    <w:name w:val="Χωρίς διάστιχο Char"/>
    <w:basedOn w:val="a0"/>
    <w:link w:val="aa"/>
    <w:uiPriority w:val="1"/>
    <w:rsid w:val="000436F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6085">
      <w:bodyDiv w:val="1"/>
      <w:marLeft w:val="0"/>
      <w:marRight w:val="0"/>
      <w:marTop w:val="0"/>
      <w:marBottom w:val="0"/>
      <w:divBdr>
        <w:top w:val="none" w:sz="0" w:space="0" w:color="auto"/>
        <w:left w:val="none" w:sz="0" w:space="0" w:color="auto"/>
        <w:bottom w:val="none" w:sz="0" w:space="0" w:color="auto"/>
        <w:right w:val="none" w:sz="0" w:space="0" w:color="auto"/>
      </w:divBdr>
    </w:div>
    <w:div w:id="144250397">
      <w:bodyDiv w:val="1"/>
      <w:marLeft w:val="0"/>
      <w:marRight w:val="0"/>
      <w:marTop w:val="0"/>
      <w:marBottom w:val="0"/>
      <w:divBdr>
        <w:top w:val="none" w:sz="0" w:space="0" w:color="auto"/>
        <w:left w:val="none" w:sz="0" w:space="0" w:color="auto"/>
        <w:bottom w:val="none" w:sz="0" w:space="0" w:color="auto"/>
        <w:right w:val="none" w:sz="0" w:space="0" w:color="auto"/>
      </w:divBdr>
    </w:div>
    <w:div w:id="259215805">
      <w:bodyDiv w:val="1"/>
      <w:marLeft w:val="0"/>
      <w:marRight w:val="0"/>
      <w:marTop w:val="0"/>
      <w:marBottom w:val="0"/>
      <w:divBdr>
        <w:top w:val="none" w:sz="0" w:space="0" w:color="auto"/>
        <w:left w:val="none" w:sz="0" w:space="0" w:color="auto"/>
        <w:bottom w:val="none" w:sz="0" w:space="0" w:color="auto"/>
        <w:right w:val="none" w:sz="0" w:space="0" w:color="auto"/>
      </w:divBdr>
    </w:div>
    <w:div w:id="350886274">
      <w:bodyDiv w:val="1"/>
      <w:marLeft w:val="0"/>
      <w:marRight w:val="0"/>
      <w:marTop w:val="0"/>
      <w:marBottom w:val="0"/>
      <w:divBdr>
        <w:top w:val="none" w:sz="0" w:space="0" w:color="auto"/>
        <w:left w:val="none" w:sz="0" w:space="0" w:color="auto"/>
        <w:bottom w:val="none" w:sz="0" w:space="0" w:color="auto"/>
        <w:right w:val="none" w:sz="0" w:space="0" w:color="auto"/>
      </w:divBdr>
    </w:div>
    <w:div w:id="381101290">
      <w:bodyDiv w:val="1"/>
      <w:marLeft w:val="0"/>
      <w:marRight w:val="0"/>
      <w:marTop w:val="0"/>
      <w:marBottom w:val="0"/>
      <w:divBdr>
        <w:top w:val="none" w:sz="0" w:space="0" w:color="auto"/>
        <w:left w:val="none" w:sz="0" w:space="0" w:color="auto"/>
        <w:bottom w:val="none" w:sz="0" w:space="0" w:color="auto"/>
        <w:right w:val="none" w:sz="0" w:space="0" w:color="auto"/>
      </w:divBdr>
    </w:div>
    <w:div w:id="518667062">
      <w:bodyDiv w:val="1"/>
      <w:marLeft w:val="0"/>
      <w:marRight w:val="0"/>
      <w:marTop w:val="0"/>
      <w:marBottom w:val="0"/>
      <w:divBdr>
        <w:top w:val="none" w:sz="0" w:space="0" w:color="auto"/>
        <w:left w:val="none" w:sz="0" w:space="0" w:color="auto"/>
        <w:bottom w:val="none" w:sz="0" w:space="0" w:color="auto"/>
        <w:right w:val="none" w:sz="0" w:space="0" w:color="auto"/>
      </w:divBdr>
    </w:div>
    <w:div w:id="558900650">
      <w:bodyDiv w:val="1"/>
      <w:marLeft w:val="0"/>
      <w:marRight w:val="0"/>
      <w:marTop w:val="0"/>
      <w:marBottom w:val="0"/>
      <w:divBdr>
        <w:top w:val="none" w:sz="0" w:space="0" w:color="auto"/>
        <w:left w:val="none" w:sz="0" w:space="0" w:color="auto"/>
        <w:bottom w:val="none" w:sz="0" w:space="0" w:color="auto"/>
        <w:right w:val="none" w:sz="0" w:space="0" w:color="auto"/>
      </w:divBdr>
    </w:div>
    <w:div w:id="587083091">
      <w:bodyDiv w:val="1"/>
      <w:marLeft w:val="0"/>
      <w:marRight w:val="0"/>
      <w:marTop w:val="0"/>
      <w:marBottom w:val="0"/>
      <w:divBdr>
        <w:top w:val="none" w:sz="0" w:space="0" w:color="auto"/>
        <w:left w:val="none" w:sz="0" w:space="0" w:color="auto"/>
        <w:bottom w:val="none" w:sz="0" w:space="0" w:color="auto"/>
        <w:right w:val="none" w:sz="0" w:space="0" w:color="auto"/>
      </w:divBdr>
    </w:div>
    <w:div w:id="801070570">
      <w:bodyDiv w:val="1"/>
      <w:marLeft w:val="0"/>
      <w:marRight w:val="0"/>
      <w:marTop w:val="0"/>
      <w:marBottom w:val="0"/>
      <w:divBdr>
        <w:top w:val="none" w:sz="0" w:space="0" w:color="auto"/>
        <w:left w:val="none" w:sz="0" w:space="0" w:color="auto"/>
        <w:bottom w:val="none" w:sz="0" w:space="0" w:color="auto"/>
        <w:right w:val="none" w:sz="0" w:space="0" w:color="auto"/>
      </w:divBdr>
    </w:div>
    <w:div w:id="834539704">
      <w:bodyDiv w:val="1"/>
      <w:marLeft w:val="0"/>
      <w:marRight w:val="0"/>
      <w:marTop w:val="0"/>
      <w:marBottom w:val="0"/>
      <w:divBdr>
        <w:top w:val="none" w:sz="0" w:space="0" w:color="auto"/>
        <w:left w:val="none" w:sz="0" w:space="0" w:color="auto"/>
        <w:bottom w:val="none" w:sz="0" w:space="0" w:color="auto"/>
        <w:right w:val="none" w:sz="0" w:space="0" w:color="auto"/>
      </w:divBdr>
    </w:div>
    <w:div w:id="879705413">
      <w:bodyDiv w:val="1"/>
      <w:marLeft w:val="0"/>
      <w:marRight w:val="0"/>
      <w:marTop w:val="0"/>
      <w:marBottom w:val="0"/>
      <w:divBdr>
        <w:top w:val="none" w:sz="0" w:space="0" w:color="auto"/>
        <w:left w:val="none" w:sz="0" w:space="0" w:color="auto"/>
        <w:bottom w:val="none" w:sz="0" w:space="0" w:color="auto"/>
        <w:right w:val="none" w:sz="0" w:space="0" w:color="auto"/>
      </w:divBdr>
    </w:div>
    <w:div w:id="899637537">
      <w:bodyDiv w:val="1"/>
      <w:marLeft w:val="0"/>
      <w:marRight w:val="0"/>
      <w:marTop w:val="0"/>
      <w:marBottom w:val="0"/>
      <w:divBdr>
        <w:top w:val="none" w:sz="0" w:space="0" w:color="auto"/>
        <w:left w:val="none" w:sz="0" w:space="0" w:color="auto"/>
        <w:bottom w:val="none" w:sz="0" w:space="0" w:color="auto"/>
        <w:right w:val="none" w:sz="0" w:space="0" w:color="auto"/>
      </w:divBdr>
    </w:div>
    <w:div w:id="1080785473">
      <w:bodyDiv w:val="1"/>
      <w:marLeft w:val="0"/>
      <w:marRight w:val="0"/>
      <w:marTop w:val="0"/>
      <w:marBottom w:val="0"/>
      <w:divBdr>
        <w:top w:val="none" w:sz="0" w:space="0" w:color="auto"/>
        <w:left w:val="none" w:sz="0" w:space="0" w:color="auto"/>
        <w:bottom w:val="none" w:sz="0" w:space="0" w:color="auto"/>
        <w:right w:val="none" w:sz="0" w:space="0" w:color="auto"/>
      </w:divBdr>
    </w:div>
    <w:div w:id="1165240829">
      <w:bodyDiv w:val="1"/>
      <w:marLeft w:val="0"/>
      <w:marRight w:val="0"/>
      <w:marTop w:val="0"/>
      <w:marBottom w:val="0"/>
      <w:divBdr>
        <w:top w:val="none" w:sz="0" w:space="0" w:color="auto"/>
        <w:left w:val="none" w:sz="0" w:space="0" w:color="auto"/>
        <w:bottom w:val="none" w:sz="0" w:space="0" w:color="auto"/>
        <w:right w:val="none" w:sz="0" w:space="0" w:color="auto"/>
      </w:divBdr>
    </w:div>
    <w:div w:id="1206915722">
      <w:bodyDiv w:val="1"/>
      <w:marLeft w:val="0"/>
      <w:marRight w:val="0"/>
      <w:marTop w:val="0"/>
      <w:marBottom w:val="0"/>
      <w:divBdr>
        <w:top w:val="none" w:sz="0" w:space="0" w:color="auto"/>
        <w:left w:val="none" w:sz="0" w:space="0" w:color="auto"/>
        <w:bottom w:val="none" w:sz="0" w:space="0" w:color="auto"/>
        <w:right w:val="none" w:sz="0" w:space="0" w:color="auto"/>
      </w:divBdr>
    </w:div>
    <w:div w:id="1224173254">
      <w:bodyDiv w:val="1"/>
      <w:marLeft w:val="0"/>
      <w:marRight w:val="0"/>
      <w:marTop w:val="0"/>
      <w:marBottom w:val="0"/>
      <w:divBdr>
        <w:top w:val="none" w:sz="0" w:space="0" w:color="auto"/>
        <w:left w:val="none" w:sz="0" w:space="0" w:color="auto"/>
        <w:bottom w:val="none" w:sz="0" w:space="0" w:color="auto"/>
        <w:right w:val="none" w:sz="0" w:space="0" w:color="auto"/>
      </w:divBdr>
    </w:div>
    <w:div w:id="1243875691">
      <w:bodyDiv w:val="1"/>
      <w:marLeft w:val="0"/>
      <w:marRight w:val="0"/>
      <w:marTop w:val="0"/>
      <w:marBottom w:val="0"/>
      <w:divBdr>
        <w:top w:val="none" w:sz="0" w:space="0" w:color="auto"/>
        <w:left w:val="none" w:sz="0" w:space="0" w:color="auto"/>
        <w:bottom w:val="none" w:sz="0" w:space="0" w:color="auto"/>
        <w:right w:val="none" w:sz="0" w:space="0" w:color="auto"/>
      </w:divBdr>
    </w:div>
    <w:div w:id="1486780440">
      <w:bodyDiv w:val="1"/>
      <w:marLeft w:val="0"/>
      <w:marRight w:val="0"/>
      <w:marTop w:val="0"/>
      <w:marBottom w:val="0"/>
      <w:divBdr>
        <w:top w:val="none" w:sz="0" w:space="0" w:color="auto"/>
        <w:left w:val="none" w:sz="0" w:space="0" w:color="auto"/>
        <w:bottom w:val="none" w:sz="0" w:space="0" w:color="auto"/>
        <w:right w:val="none" w:sz="0" w:space="0" w:color="auto"/>
      </w:divBdr>
    </w:div>
    <w:div w:id="1951207635">
      <w:bodyDiv w:val="1"/>
      <w:marLeft w:val="0"/>
      <w:marRight w:val="0"/>
      <w:marTop w:val="0"/>
      <w:marBottom w:val="0"/>
      <w:divBdr>
        <w:top w:val="none" w:sz="0" w:space="0" w:color="auto"/>
        <w:left w:val="none" w:sz="0" w:space="0" w:color="auto"/>
        <w:bottom w:val="none" w:sz="0" w:space="0" w:color="auto"/>
        <w:right w:val="none" w:sz="0" w:space="0" w:color="auto"/>
      </w:divBdr>
    </w:div>
    <w:div w:id="1997568544">
      <w:bodyDiv w:val="1"/>
      <w:marLeft w:val="0"/>
      <w:marRight w:val="0"/>
      <w:marTop w:val="0"/>
      <w:marBottom w:val="0"/>
      <w:divBdr>
        <w:top w:val="none" w:sz="0" w:space="0" w:color="auto"/>
        <w:left w:val="none" w:sz="0" w:space="0" w:color="auto"/>
        <w:bottom w:val="none" w:sz="0" w:space="0" w:color="auto"/>
        <w:right w:val="none" w:sz="0" w:space="0" w:color="auto"/>
      </w:divBdr>
    </w:div>
    <w:div w:id="2044284334">
      <w:bodyDiv w:val="1"/>
      <w:marLeft w:val="0"/>
      <w:marRight w:val="0"/>
      <w:marTop w:val="0"/>
      <w:marBottom w:val="0"/>
      <w:divBdr>
        <w:top w:val="none" w:sz="0" w:space="0" w:color="auto"/>
        <w:left w:val="none" w:sz="0" w:space="0" w:color="auto"/>
        <w:bottom w:val="none" w:sz="0" w:space="0" w:color="auto"/>
        <w:right w:val="none" w:sz="0" w:space="0" w:color="auto"/>
      </w:divBdr>
    </w:div>
    <w:div w:id="2094815990">
      <w:bodyDiv w:val="1"/>
      <w:marLeft w:val="0"/>
      <w:marRight w:val="0"/>
      <w:marTop w:val="0"/>
      <w:marBottom w:val="0"/>
      <w:divBdr>
        <w:top w:val="none" w:sz="0" w:space="0" w:color="auto"/>
        <w:left w:val="none" w:sz="0" w:space="0" w:color="auto"/>
        <w:bottom w:val="none" w:sz="0" w:space="0" w:color="auto"/>
        <w:right w:val="none" w:sz="0" w:space="0" w:color="auto"/>
      </w:divBdr>
    </w:div>
    <w:div w:id="21141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90221E35-4101-4339-ABEF-46BC6B74B1FA@Hom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Αφθονία">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99BD0-6ADB-4F30-A511-8924FAAA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1871</Words>
  <Characters>10104</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Ioannis Delandreas</cp:lastModifiedBy>
  <cp:revision>115</cp:revision>
  <cp:lastPrinted>2020-12-16T09:07:00Z</cp:lastPrinted>
  <dcterms:created xsi:type="dcterms:W3CDTF">2020-05-21T11:41:00Z</dcterms:created>
  <dcterms:modified xsi:type="dcterms:W3CDTF">2026-07-06T10:48:00Z</dcterms:modified>
</cp:coreProperties>
</file>