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AE21C" w14:textId="77777777" w:rsidR="00BC6BE0" w:rsidRDefault="00000000" w:rsidP="00773927">
      <w:pPr>
        <w:spacing w:after="60"/>
        <w:jc w:val="both"/>
      </w:pPr>
      <w:r>
        <w:rPr>
          <w:b/>
          <w:bCs/>
          <w:color w:val="6B6B6B"/>
          <w:spacing w:val="40"/>
          <w:sz w:val="18"/>
          <w:szCs w:val="18"/>
        </w:rPr>
        <w:t>ΕΝΗΜΕΡΩΤΙΚΟ ΔΕΛΤΙΟ</w:t>
      </w:r>
    </w:p>
    <w:p w14:paraId="72510A23" w14:textId="767ABC6D" w:rsidR="00BC6BE0" w:rsidRDefault="00000000" w:rsidP="00773927">
      <w:pPr>
        <w:spacing w:after="40"/>
        <w:jc w:val="both"/>
        <w:rPr>
          <w:b/>
          <w:bCs/>
          <w:color w:val="8B2B1A"/>
          <w:sz w:val="40"/>
          <w:szCs w:val="40"/>
          <w:lang w:val="en-US"/>
        </w:rPr>
      </w:pPr>
      <w:proofErr w:type="spellStart"/>
      <w:r>
        <w:rPr>
          <w:b/>
          <w:bCs/>
          <w:color w:val="8B2B1A"/>
          <w:sz w:val="40"/>
          <w:szCs w:val="40"/>
        </w:rPr>
        <w:t>Whistleblowing</w:t>
      </w:r>
      <w:proofErr w:type="spellEnd"/>
      <w:r>
        <w:rPr>
          <w:b/>
          <w:bCs/>
          <w:color w:val="8B2B1A"/>
          <w:sz w:val="40"/>
          <w:szCs w:val="40"/>
        </w:rPr>
        <w:t xml:space="preserve"> &amp; GDPR</w:t>
      </w:r>
    </w:p>
    <w:p w14:paraId="34E8FAAC" w14:textId="77777777" w:rsidR="00773927" w:rsidRPr="00773927" w:rsidRDefault="00773927" w:rsidP="00773927">
      <w:pPr>
        <w:spacing w:after="40"/>
        <w:jc w:val="both"/>
        <w:rPr>
          <w:lang w:val="en-US"/>
        </w:rPr>
      </w:pPr>
    </w:p>
    <w:p w14:paraId="29FEC2DF" w14:textId="77777777" w:rsidR="00BC6BE0" w:rsidRDefault="00000000" w:rsidP="00773927">
      <w:pPr>
        <w:pBdr>
          <w:bottom w:val="single" w:sz="12" w:space="6" w:color="8B2B1A"/>
        </w:pBdr>
        <w:spacing w:after="140"/>
        <w:jc w:val="both"/>
      </w:pPr>
      <w:r>
        <w:rPr>
          <w:i/>
          <w:iCs/>
          <w:color w:val="C4614A"/>
          <w:sz w:val="22"/>
          <w:szCs w:val="22"/>
        </w:rPr>
        <w:t>Ενιαίο πλαίσιο συμμόρφωσης με τον ν. 4990/2022, τον ν. 4808/2021 και τον Κανονισμό (ΕΕ) 2016/679</w:t>
      </w:r>
    </w:p>
    <w:p w14:paraId="16C25491" w14:textId="77777777" w:rsidR="00BC6BE0" w:rsidRDefault="00000000" w:rsidP="00773927">
      <w:pPr>
        <w:pBdr>
          <w:bottom w:val="single" w:sz="8" w:space="4" w:color="C4614A"/>
        </w:pBdr>
        <w:spacing w:before="280" w:after="140"/>
        <w:jc w:val="both"/>
      </w:pPr>
      <w:r>
        <w:rPr>
          <w:b/>
          <w:bCs/>
          <w:color w:val="8B2B1A"/>
          <w:sz w:val="26"/>
          <w:szCs w:val="26"/>
        </w:rPr>
        <w:t>1. Τρία νομοθετήματα, ένας μηχανισμός</w:t>
      </w:r>
    </w:p>
    <w:p w14:paraId="38330DCD" w14:textId="77777777" w:rsidR="00BC6BE0" w:rsidRDefault="00000000" w:rsidP="00773927">
      <w:pPr>
        <w:spacing w:after="120" w:line="276" w:lineRule="auto"/>
        <w:jc w:val="both"/>
      </w:pPr>
      <w:r>
        <w:rPr>
          <w:color w:val="222222"/>
        </w:rPr>
        <w:t>Κάθε επιχείρηση με προσωπικό υπόκειται σήμερα ταυτόχρονα σε τρία διακριτά νομοθετικά πλαίσια που, στην ουσία, ρυθμίζουν τον ίδιο μηχανισμό: τον τρόπο με τον οποίο η επιχείρηση παραλαμβάνει, διερευνά και τεκμηριώνει αναφορές και καταγγελίες, και τον τρόπο με τον οποίο διαχειρίζεται τα προσωπικά δεδομένα που αυτές παράγουν.</w:t>
      </w:r>
    </w:p>
    <w:p w14:paraId="19A5441F" w14:textId="77777777" w:rsidR="00BC6BE0" w:rsidRDefault="00000000" w:rsidP="00773927">
      <w:pPr>
        <w:spacing w:after="120" w:line="276" w:lineRule="auto"/>
        <w:jc w:val="both"/>
      </w:pPr>
      <w:r>
        <w:rPr>
          <w:color w:val="222222"/>
        </w:rPr>
        <w:t>Η αποσπασματική αντιμετώπισή τους οδηγεί σε τρεις παράλληλες διαδικασίες, τρία διαφορετικά έντυπα και συγκεχυμένους ρόλους, με αποτέλεσμα καμία από τις τρεις να μην εφαρμόζεται στην πράξη. Η προσέγγιση της Emetris είναι η ανάπτυξη ενός ενιαίου πλαισίου διαχείρισης αναφορών, με κοινό δίαυλο υποβολής, κοινό μητρώο και σαφή διαχωρισμό μόνο εκεί όπου ο νόμος τον επιβάλλει.</w:t>
      </w:r>
    </w:p>
    <w:p w14:paraId="46933DFC" w14:textId="19BDD958" w:rsidR="00773927" w:rsidRPr="00773927" w:rsidRDefault="00000000" w:rsidP="00773927">
      <w:pPr>
        <w:spacing w:before="200" w:after="100"/>
        <w:jc w:val="both"/>
        <w:rPr>
          <w:b/>
          <w:bCs/>
          <w:color w:val="C4614A"/>
          <w:sz w:val="22"/>
          <w:szCs w:val="22"/>
          <w:lang w:val="en-US"/>
        </w:rPr>
      </w:pPr>
      <w:r>
        <w:rPr>
          <w:b/>
          <w:bCs/>
          <w:color w:val="C4614A"/>
          <w:sz w:val="22"/>
          <w:szCs w:val="22"/>
        </w:rPr>
        <w:t>Ποιες υποχρεώσεις ενεργοποιούνται και πότε</w:t>
      </w:r>
    </w:p>
    <w:tbl>
      <w:tblPr>
        <w:tblW w:w="9000" w:type="dxa"/>
        <w:tblBorders>
          <w:top w:val="single" w:sz="4" w:space="0" w:color="D8CFCC"/>
          <w:left w:val="single" w:sz="4" w:space="0" w:color="D8CFCC"/>
          <w:bottom w:val="single" w:sz="4" w:space="0" w:color="D8CFCC"/>
          <w:right w:val="single" w:sz="4" w:space="0" w:color="D8CFCC"/>
          <w:insideH w:val="single" w:sz="4" w:space="0" w:color="D8CFCC"/>
          <w:insideV w:val="single" w:sz="4" w:space="0" w:color="D8CF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0"/>
        <w:gridCol w:w="3400"/>
      </w:tblGrid>
      <w:tr w:rsidR="00BC6BE0" w14:paraId="27461776" w14:textId="77777777">
        <w:tblPrEx>
          <w:tblCellMar>
            <w:top w:w="0" w:type="dxa"/>
            <w:bottom w:w="0" w:type="dxa"/>
          </w:tblCellMar>
        </w:tblPrEx>
        <w:tc>
          <w:tcPr>
            <w:tcW w:w="5600" w:type="dxa"/>
            <w:shd w:val="clear" w:color="auto" w:fill="8B2B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7F092E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color w:val="FFFFFF"/>
                <w:sz w:val="19"/>
                <w:szCs w:val="19"/>
              </w:rPr>
              <w:t>Υποχρέωση</w:t>
            </w:r>
          </w:p>
        </w:tc>
        <w:tc>
          <w:tcPr>
            <w:tcW w:w="3400" w:type="dxa"/>
            <w:shd w:val="clear" w:color="auto" w:fill="8B2B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9020C6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color w:val="FFFFFF"/>
                <w:sz w:val="19"/>
                <w:szCs w:val="19"/>
              </w:rPr>
              <w:t>Κατώφλι ενεργοποίησης</w:t>
            </w:r>
          </w:p>
        </w:tc>
      </w:tr>
      <w:tr w:rsidR="00BC6BE0" w14:paraId="4F7D09B8" w14:textId="77777777">
        <w:tblPrEx>
          <w:tblCellMar>
            <w:top w:w="0" w:type="dxa"/>
            <w:bottom w:w="0" w:type="dxa"/>
          </w:tblCellMar>
        </w:tblPrEx>
        <w:tc>
          <w:tcPr>
            <w:tcW w:w="5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FEC0F0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Μηδενική ανοχή, εκτίμηση κινδύνων, ενημέρωση προσωπικού (άρθρο 5 ν. 4808/2021)</w:t>
            </w:r>
          </w:p>
        </w:tc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3CA46F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Κάθε εργοδότης, ανεξαρτήτως μεγέθους</w:t>
            </w:r>
          </w:p>
        </w:tc>
      </w:tr>
      <w:tr w:rsidR="00BC6BE0" w14:paraId="473A6AFC" w14:textId="77777777">
        <w:tblPrEx>
          <w:tblCellMar>
            <w:top w:w="0" w:type="dxa"/>
            <w:bottom w:w="0" w:type="dxa"/>
          </w:tblCellMar>
        </w:tblPrEx>
        <w:tc>
          <w:tcPr>
            <w:tcW w:w="5600" w:type="dxa"/>
            <w:shd w:val="clear" w:color="auto" w:fill="FAF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EAB80E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Πολιτική πρόληψης βίας &amp; παρενόχλησης και πολιτική διαχείρισης καταγγελιών (άρθρα 9–10 ν. 4808/2021)</w:t>
            </w:r>
          </w:p>
        </w:tc>
        <w:tc>
          <w:tcPr>
            <w:tcW w:w="3400" w:type="dxa"/>
            <w:shd w:val="clear" w:color="auto" w:fill="FAF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A3AD40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Άνω των 20 εργαζομένων</w:t>
            </w:r>
          </w:p>
        </w:tc>
      </w:tr>
      <w:tr w:rsidR="00BC6BE0" w14:paraId="11052F11" w14:textId="77777777">
        <w:tblPrEx>
          <w:tblCellMar>
            <w:top w:w="0" w:type="dxa"/>
            <w:bottom w:w="0" w:type="dxa"/>
          </w:tblCellMar>
        </w:tblPrEx>
        <w:tc>
          <w:tcPr>
            <w:tcW w:w="5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270D41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Ορισμός Υ.Π.Π.Α. και εσωτερικός δίαυλος αναφορών (άρθρα 9–10 ν. 4990/2022)</w:t>
            </w:r>
          </w:p>
        </w:tc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3449F0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50 ή περισσότεροι ταυτόχρονα απασχολούμενοι</w:t>
            </w:r>
          </w:p>
        </w:tc>
      </w:tr>
      <w:tr w:rsidR="00BC6BE0" w14:paraId="5F3F784C" w14:textId="77777777">
        <w:tblPrEx>
          <w:tblCellMar>
            <w:top w:w="0" w:type="dxa"/>
            <w:bottom w:w="0" w:type="dxa"/>
          </w:tblCellMar>
        </w:tblPrEx>
        <w:tc>
          <w:tcPr>
            <w:tcW w:w="5600" w:type="dxa"/>
            <w:shd w:val="clear" w:color="auto" w:fill="FAF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EB5F78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Αρχείο Δραστηριοτήτων, ενημερώσεις υποκειμένων, συμβάσεις επεξεργασίας, ΕΑΠΔ (GDPR)</w:t>
            </w:r>
          </w:p>
        </w:tc>
        <w:tc>
          <w:tcPr>
            <w:tcW w:w="3400" w:type="dxa"/>
            <w:shd w:val="clear" w:color="auto" w:fill="FAF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BA2C39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Κάθε επιχείρηση που επεξεργάζεται δεδομένα</w:t>
            </w:r>
          </w:p>
        </w:tc>
      </w:tr>
    </w:tbl>
    <w:p w14:paraId="20F6E38A" w14:textId="77777777" w:rsidR="00BC6BE0" w:rsidRDefault="00BC6BE0" w:rsidP="00773927">
      <w:pPr>
        <w:spacing w:after="120"/>
        <w:jc w:val="both"/>
        <w:rPr>
          <w:lang w:val="en-US"/>
        </w:rPr>
      </w:pPr>
    </w:p>
    <w:p w14:paraId="7B413F9A" w14:textId="77777777" w:rsidR="00773927" w:rsidRDefault="00773927" w:rsidP="00773927">
      <w:pPr>
        <w:spacing w:after="80"/>
        <w:jc w:val="both"/>
        <w:rPr>
          <w:b/>
          <w:bCs/>
          <w:color w:val="C4614A"/>
          <w:sz w:val="21"/>
          <w:szCs w:val="21"/>
          <w:lang w:val="en-US"/>
        </w:rPr>
      </w:pPr>
      <w:r>
        <w:rPr>
          <w:b/>
          <w:bCs/>
          <w:color w:val="C4614A"/>
          <w:sz w:val="21"/>
          <w:szCs w:val="21"/>
        </w:rPr>
        <w:t>Προσοχή στον υπολογισμό του προσωπικού</w:t>
      </w:r>
    </w:p>
    <w:p w14:paraId="002ABE06" w14:textId="77777777" w:rsidR="00773927" w:rsidRPr="00773927" w:rsidRDefault="00773927" w:rsidP="00773927">
      <w:pPr>
        <w:spacing w:after="80"/>
        <w:jc w:val="both"/>
        <w:rPr>
          <w:lang w:val="en-US"/>
        </w:rPr>
      </w:pPr>
    </w:p>
    <w:p w14:paraId="1131FE45" w14:textId="77777777" w:rsidR="00773927" w:rsidRDefault="00773927" w:rsidP="00773927">
      <w:pPr>
        <w:spacing w:after="60" w:line="264" w:lineRule="auto"/>
        <w:jc w:val="both"/>
      </w:pPr>
      <w:r>
        <w:rPr>
          <w:color w:val="222222"/>
          <w:sz w:val="19"/>
          <w:szCs w:val="19"/>
        </w:rPr>
        <w:t>Ο υπολογισμός γίνεται κατά τον ν. 4308/2014 και περιλαμβάνει πλήρως και μερικώς απασχολούμενους, εποχικούς και δανειζόμενο προσωπικό.</w:t>
      </w:r>
    </w:p>
    <w:p w14:paraId="50AF9703" w14:textId="45F45257" w:rsidR="00773927" w:rsidRDefault="00773927" w:rsidP="00773927">
      <w:pPr>
        <w:spacing w:after="120"/>
        <w:jc w:val="both"/>
        <w:rPr>
          <w:color w:val="222222"/>
          <w:sz w:val="19"/>
          <w:szCs w:val="19"/>
          <w:lang w:val="en-US"/>
        </w:rPr>
      </w:pPr>
      <w:r>
        <w:rPr>
          <w:color w:val="222222"/>
          <w:sz w:val="19"/>
          <w:szCs w:val="19"/>
        </w:rPr>
        <w:t>Σε επιχειρήσεις με εποχική αιχμή, η υποχρέωση ορισμού Υ.Π.Π.Α. ενεργοποιείται όταν συμπληρωθούν 50 ταυτόχρονα απασχολούμενοι και διατηρείται για δύο ημερολογιακά έτη μετά το έτος συμπλήρωσης.</w:t>
      </w:r>
    </w:p>
    <w:p w14:paraId="65EC7E57" w14:textId="77777777" w:rsidR="00773927" w:rsidRDefault="00773927" w:rsidP="00773927">
      <w:pPr>
        <w:spacing w:after="120"/>
        <w:jc w:val="both"/>
        <w:rPr>
          <w:color w:val="222222"/>
          <w:sz w:val="19"/>
          <w:szCs w:val="19"/>
          <w:lang w:val="en-US"/>
        </w:rPr>
      </w:pPr>
    </w:p>
    <w:p w14:paraId="7033334E" w14:textId="77777777" w:rsidR="00773927" w:rsidRDefault="00773927" w:rsidP="00773927">
      <w:pPr>
        <w:spacing w:after="120"/>
        <w:jc w:val="both"/>
        <w:rPr>
          <w:color w:val="222222"/>
          <w:sz w:val="19"/>
          <w:szCs w:val="19"/>
          <w:lang w:val="en-US"/>
        </w:rPr>
      </w:pPr>
    </w:p>
    <w:p w14:paraId="0DF12805" w14:textId="77777777" w:rsidR="00773927" w:rsidRDefault="00773927" w:rsidP="00773927">
      <w:pPr>
        <w:spacing w:after="120"/>
        <w:jc w:val="both"/>
        <w:rPr>
          <w:color w:val="222222"/>
          <w:sz w:val="19"/>
          <w:szCs w:val="19"/>
          <w:lang w:val="en-US"/>
        </w:rPr>
      </w:pPr>
    </w:p>
    <w:p w14:paraId="44183078" w14:textId="77777777" w:rsidR="00773927" w:rsidRDefault="00773927" w:rsidP="00773927">
      <w:pPr>
        <w:spacing w:after="120"/>
        <w:jc w:val="both"/>
        <w:rPr>
          <w:color w:val="222222"/>
          <w:sz w:val="19"/>
          <w:szCs w:val="19"/>
          <w:lang w:val="en-US"/>
        </w:rPr>
      </w:pPr>
    </w:p>
    <w:p w14:paraId="2A5410E5" w14:textId="77777777" w:rsidR="00773927" w:rsidRDefault="00773927" w:rsidP="00773927">
      <w:pPr>
        <w:spacing w:after="120"/>
        <w:jc w:val="both"/>
        <w:rPr>
          <w:color w:val="222222"/>
          <w:sz w:val="19"/>
          <w:szCs w:val="19"/>
          <w:lang w:val="en-US"/>
        </w:rPr>
      </w:pPr>
    </w:p>
    <w:p w14:paraId="36AB3BDB" w14:textId="77777777" w:rsidR="00773927" w:rsidRDefault="00773927" w:rsidP="00773927">
      <w:pPr>
        <w:spacing w:after="120"/>
        <w:jc w:val="both"/>
        <w:rPr>
          <w:color w:val="222222"/>
          <w:sz w:val="19"/>
          <w:szCs w:val="19"/>
          <w:lang w:val="en-US"/>
        </w:rPr>
      </w:pPr>
    </w:p>
    <w:p w14:paraId="1D521586" w14:textId="77777777" w:rsidR="00773927" w:rsidRPr="00773927" w:rsidRDefault="00773927" w:rsidP="00773927">
      <w:pPr>
        <w:spacing w:after="120"/>
        <w:jc w:val="both"/>
        <w:rPr>
          <w:lang w:val="en-US"/>
        </w:rPr>
      </w:pPr>
    </w:p>
    <w:p w14:paraId="18E326E2" w14:textId="6ADC2C11" w:rsidR="00BC6BE0" w:rsidRPr="00773927" w:rsidRDefault="00000000" w:rsidP="00773927">
      <w:pPr>
        <w:pBdr>
          <w:bottom w:val="single" w:sz="8" w:space="4" w:color="C4614A"/>
        </w:pBdr>
        <w:spacing w:before="280" w:after="140"/>
        <w:jc w:val="both"/>
      </w:pPr>
      <w:r>
        <w:rPr>
          <w:b/>
          <w:bCs/>
          <w:color w:val="8B2B1A"/>
          <w:sz w:val="26"/>
          <w:szCs w:val="26"/>
        </w:rPr>
        <w:lastRenderedPageBreak/>
        <w:t xml:space="preserve">2. </w:t>
      </w:r>
      <w:r w:rsidR="00773927">
        <w:rPr>
          <w:b/>
          <w:bCs/>
          <w:color w:val="8B2B1A"/>
          <w:sz w:val="26"/>
          <w:szCs w:val="26"/>
        </w:rPr>
        <w:t>Η προσέγγιση μας</w:t>
      </w:r>
    </w:p>
    <w:p w14:paraId="5D576D83" w14:textId="77777777" w:rsidR="00BC6BE0" w:rsidRDefault="00000000" w:rsidP="00773927">
      <w:pPr>
        <w:spacing w:before="200" w:after="100"/>
        <w:jc w:val="both"/>
      </w:pPr>
      <w:r>
        <w:rPr>
          <w:b/>
          <w:bCs/>
          <w:color w:val="C4614A"/>
          <w:sz w:val="22"/>
          <w:szCs w:val="22"/>
        </w:rPr>
        <w:t>Α. Αναφορές, καταγγελίες και παρενόχληση</w:t>
      </w:r>
    </w:p>
    <w:p w14:paraId="7E112A61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Πολιτική Βίας και Παρενόχλησης — </w:t>
      </w:r>
      <w:r>
        <w:rPr>
          <w:color w:val="222222"/>
        </w:rPr>
        <w:t>δήλωση μηδενικής ανοχής, ορισμοί, δικαιώματα και υποχρεώσεις, μέτρα πρόληψης (άρθρο 9 ν. 4808/2021).</w:t>
      </w:r>
    </w:p>
    <w:p w14:paraId="7393CBBD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Πολιτική Διαχείρισης Εσωτερικών Καταγγελιών — </w:t>
      </w:r>
      <w:r>
        <w:rPr>
          <w:color w:val="222222"/>
        </w:rPr>
        <w:t>δίαυλοι υποβολής, στάδια διερεύνησης, προθεσμίες, προστασία θιγομένου και καταγγελλομένου (άρθρο 10 ν. 4808/2021).</w:t>
      </w:r>
    </w:p>
    <w:p w14:paraId="07FBFF49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Διαδικασία Εσωτερικών Αναφορών — </w:t>
      </w:r>
      <w:r>
        <w:rPr>
          <w:color w:val="222222"/>
        </w:rPr>
        <w:t>παραλαβή, βεβαίωση εντός 7 εργάσιμων ημερών, αξιολόγηση, ενημέρωση εντός 3 μηνών, αρχειοθέτηση (ν. 4990/2022).</w:t>
      </w:r>
    </w:p>
    <w:p w14:paraId="697D3D1A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Ορισμός και τεκμηρίωση ρόλων — </w:t>
      </w:r>
      <w:r>
        <w:rPr>
          <w:color w:val="222222"/>
        </w:rPr>
        <w:t>απόφαση ορισμού Υ.Π.Π.Α. και προσώπου αναφοράς, περιγραφές καθηκόντων, δηλώσεις εμπιστευτικότητας, έλεγχος ασυμβιβάστων.</w:t>
      </w:r>
    </w:p>
    <w:p w14:paraId="049E0762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Έντυπα και μητρώα — </w:t>
      </w:r>
      <w:r>
        <w:rPr>
          <w:color w:val="222222"/>
        </w:rPr>
        <w:t>έντυπο αναφοράς, βεβαίωση παραλαβής, πρακτικό προφορικής αναφοράς, μητρώο αναφορών, φύλλο διερεύνησης, έντυπο έκβασης.</w:t>
      </w:r>
    </w:p>
    <w:p w14:paraId="3D8DF486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Εκτίμηση ψυχοκοινωνικών κινδύνων — </w:t>
      </w:r>
      <w:r>
        <w:rPr>
          <w:color w:val="222222"/>
        </w:rPr>
        <w:t>καταγραφή θέσεων και βαρδιών αυξημένης έκθεσης και αντιστοίχιση μέτρων πρόληψης ανά τμήμα.</w:t>
      </w:r>
    </w:p>
    <w:p w14:paraId="09EA7BD2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Υλικό ενημέρωσης — </w:t>
      </w:r>
      <w:r>
        <w:rPr>
          <w:color w:val="222222"/>
        </w:rPr>
        <w:t>ενημερωτικό έντυπο και αφίσα ανάρτησης στους χώρους προσωπικού, στις γλώσσες εργασίας της επιχείρησης.</w:t>
      </w:r>
    </w:p>
    <w:p w14:paraId="039CD12E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Γνωστοποιήσεις προς τις Αρχές — </w:t>
      </w:r>
      <w:r>
        <w:rPr>
          <w:color w:val="222222"/>
        </w:rPr>
        <w:t>γνωστοποίηση Υ.Π.Π.Α. στην Επιθεώρηση Εργασίας και ένταξη των πολιτικών στον Κανονισμό Εργασίας.</w:t>
      </w:r>
    </w:p>
    <w:p w14:paraId="3211736E" w14:textId="77777777" w:rsidR="00BC6BE0" w:rsidRDefault="00000000" w:rsidP="00773927">
      <w:pPr>
        <w:spacing w:before="200" w:after="100"/>
        <w:jc w:val="both"/>
      </w:pPr>
      <w:r>
        <w:rPr>
          <w:b/>
          <w:bCs/>
          <w:color w:val="C4614A"/>
          <w:sz w:val="22"/>
          <w:szCs w:val="22"/>
        </w:rPr>
        <w:t>Β. Προστασία δεδομένων προσωπικού χαρακτήρα (GDPR)</w:t>
      </w:r>
    </w:p>
    <w:p w14:paraId="628612C2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Χαρτογράφηση και Αρχείο Δραστηριοτήτων — </w:t>
      </w:r>
      <w:r>
        <w:rPr>
          <w:color w:val="222222"/>
        </w:rPr>
        <w:t>σκοποί, νομικές βάσεις, κατηγορίες υποκειμένων, αποδέκτες, χρόνοι τήρησης, μέτρα ασφάλειας (άρθρο 30).</w:t>
      </w:r>
    </w:p>
    <w:p w14:paraId="4C8A8779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Ανάλυση αποκλίσεων — </w:t>
      </w:r>
      <w:r>
        <w:rPr>
          <w:color w:val="222222"/>
        </w:rPr>
        <w:t>έκθεση ευρημάτων με ιεράρχηση κινδύνου και σχέδιο δράσης, με υπευθύνους και προθεσμίες.</w:t>
      </w:r>
    </w:p>
    <w:p w14:paraId="797C157B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Πολιτικές — </w:t>
      </w:r>
      <w:r>
        <w:rPr>
          <w:color w:val="222222"/>
        </w:rPr>
        <w:t>προστασίας δεδομένων, ασφάλειας πληροφοριών, αποδεκτής χρήσης συστημάτων, κωδικών πρόσβασης.</w:t>
      </w:r>
    </w:p>
    <w:p w14:paraId="2850F86F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Ενημερώσεις υποκειμένων — </w:t>
      </w:r>
      <w:r>
        <w:rPr>
          <w:color w:val="222222"/>
        </w:rPr>
        <w:t>κείμενα για πελάτες, εργαζομένους, υποψηφίους προς πρόσληψη και επισκέπτες, προσαρμοσμένα στα πραγματικά σημεία συλλογής.</w:t>
      </w:r>
    </w:p>
    <w:p w14:paraId="455791C4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Συμβάσεις επεξεργασίας — </w:t>
      </w:r>
      <w:r>
        <w:rPr>
          <w:color w:val="222222"/>
        </w:rPr>
        <w:t>καταγραφή εκτελούντων, αξιολόγηση επάρκειας, σύνταξη ή έλεγχος συμβάσεων, διαβιβάσεις εκτός ΕΟΧ (άρθρο 28).</w:t>
      </w:r>
    </w:p>
    <w:p w14:paraId="4B7FE511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proofErr w:type="spellStart"/>
      <w:r>
        <w:rPr>
          <w:b/>
          <w:bCs/>
          <w:color w:val="8B2B1A"/>
        </w:rPr>
        <w:t>Βιντεοεπιτήρηση</w:t>
      </w:r>
      <w:proofErr w:type="spellEnd"/>
      <w:r>
        <w:rPr>
          <w:b/>
          <w:bCs/>
          <w:color w:val="8B2B1A"/>
        </w:rPr>
        <w:t xml:space="preserve"> — </w:t>
      </w:r>
      <w:r>
        <w:rPr>
          <w:color w:val="222222"/>
        </w:rPr>
        <w:t>πολιτική λειτουργίας, σχέδιο κάλυψης, πινακίδες, χρόνοι τήρησης και Εκτίμηση Αντικτύπου όπου απαιτείται (άρθρο 35).</w:t>
      </w:r>
    </w:p>
    <w:p w14:paraId="0483A75A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Δικαιώματα και περιστατικά — </w:t>
      </w:r>
      <w:r>
        <w:rPr>
          <w:color w:val="222222"/>
        </w:rPr>
        <w:t>ικανοποίηση αιτημάτων εντός 1 μηνός, διαχείριση παραβιάσεων με γνωστοποίηση εντός 72 ωρών, μητρώο περιστατικών.</w:t>
      </w:r>
    </w:p>
    <w:p w14:paraId="49B7E9EF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Πολιτική διατήρησης και διαγραφής — </w:t>
      </w:r>
      <w:r>
        <w:rPr>
          <w:color w:val="222222"/>
        </w:rPr>
        <w:t>πίνακας χρόνων τήρησης ανά κατηγορία αρχείου, με τεκμηρίωση των υποχρεώσεων που τους θεμελιώνουν.</w:t>
      </w:r>
    </w:p>
    <w:p w14:paraId="6FD7C01D" w14:textId="77777777" w:rsidR="00773927" w:rsidRPr="00773927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Ιστότοπος και </w:t>
      </w:r>
      <w:proofErr w:type="spellStart"/>
      <w:r>
        <w:rPr>
          <w:b/>
          <w:bCs/>
          <w:color w:val="8B2B1A"/>
        </w:rPr>
        <w:t>cookies</w:t>
      </w:r>
      <w:proofErr w:type="spellEnd"/>
      <w:r>
        <w:rPr>
          <w:b/>
          <w:bCs/>
          <w:color w:val="8B2B1A"/>
        </w:rPr>
        <w:t xml:space="preserve"> — </w:t>
      </w:r>
      <w:r>
        <w:rPr>
          <w:color w:val="222222"/>
        </w:rPr>
        <w:t xml:space="preserve">έλεγχος </w:t>
      </w:r>
      <w:proofErr w:type="spellStart"/>
      <w:r>
        <w:rPr>
          <w:color w:val="222222"/>
        </w:rPr>
        <w:t>ιστότοπου</w:t>
      </w:r>
      <w:proofErr w:type="spellEnd"/>
      <w:r>
        <w:rPr>
          <w:color w:val="222222"/>
        </w:rPr>
        <w:t xml:space="preserve">, πολιτική </w:t>
      </w:r>
      <w:proofErr w:type="spellStart"/>
      <w:r>
        <w:rPr>
          <w:color w:val="222222"/>
        </w:rPr>
        <w:t>cookies</w:t>
      </w:r>
      <w:proofErr w:type="spellEnd"/>
      <w:r>
        <w:rPr>
          <w:color w:val="222222"/>
        </w:rPr>
        <w:t xml:space="preserve">, μηχανισμός συγκατάθεσης, φόρμες επικοινωνίας και </w:t>
      </w:r>
      <w:proofErr w:type="spellStart"/>
      <w:r>
        <w:rPr>
          <w:color w:val="222222"/>
        </w:rPr>
        <w:t>newsletter.</w:t>
      </w:r>
      <w:proofErr w:type="spellEnd"/>
    </w:p>
    <w:p w14:paraId="28FC9B68" w14:textId="2E6EE86F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 w:rsidRPr="00773927">
        <w:rPr>
          <w:b/>
          <w:bCs/>
          <w:color w:val="8B2B1A"/>
        </w:rPr>
        <w:t xml:space="preserve">Εκπαίδευση προσωπικού και διοίκησης — </w:t>
      </w:r>
      <w:r w:rsidRPr="00773927">
        <w:rPr>
          <w:color w:val="222222"/>
        </w:rPr>
        <w:t>δύο ενότητες — μία για το σύνολο του προσωπικού και μία για τη διοίκηση και τους προϊσταμένους τμημάτων — με βεβαιώσεις παρακολούθησης.</w:t>
      </w:r>
    </w:p>
    <w:p w14:paraId="7DE2AD4F" w14:textId="77777777" w:rsidR="00BC6BE0" w:rsidRPr="00773927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Εσωτερικός έλεγχος συμμόρφωσης — </w:t>
      </w:r>
      <w:r>
        <w:rPr>
          <w:color w:val="222222"/>
        </w:rPr>
        <w:t>έλεγχος εφαρμογής μετά την εγκατάσταση του πλαισίου και έκθεση ευρημάτων με διορθωτικές ενέργειες.</w:t>
      </w:r>
    </w:p>
    <w:p w14:paraId="5C8C3DC1" w14:textId="77777777" w:rsidR="00773927" w:rsidRDefault="00773927" w:rsidP="00773927">
      <w:pPr>
        <w:spacing w:after="80" w:line="264" w:lineRule="auto"/>
        <w:jc w:val="both"/>
      </w:pPr>
    </w:p>
    <w:p w14:paraId="7C1FA94E" w14:textId="46FEF52A" w:rsidR="00BC6BE0" w:rsidRDefault="00000000" w:rsidP="00773927">
      <w:pPr>
        <w:pBdr>
          <w:bottom w:val="single" w:sz="8" w:space="4" w:color="C4614A"/>
        </w:pBdr>
        <w:spacing w:before="280" w:after="140"/>
        <w:jc w:val="both"/>
      </w:pPr>
      <w:r>
        <w:rPr>
          <w:b/>
          <w:bCs/>
          <w:color w:val="8B2B1A"/>
          <w:sz w:val="26"/>
          <w:szCs w:val="26"/>
        </w:rPr>
        <w:lastRenderedPageBreak/>
        <w:t>3. FAOS</w:t>
      </w:r>
      <w:r w:rsidR="00773927">
        <w:rPr>
          <w:b/>
          <w:bCs/>
          <w:color w:val="8B2B1A"/>
          <w:sz w:val="26"/>
          <w:szCs w:val="26"/>
        </w:rPr>
        <w:t xml:space="preserve"> - </w:t>
      </w:r>
      <w:r>
        <w:rPr>
          <w:b/>
          <w:bCs/>
          <w:color w:val="8B2B1A"/>
          <w:sz w:val="26"/>
          <w:szCs w:val="26"/>
        </w:rPr>
        <w:t>ο ψηφιακός δίαυλος ανώνυμων αναφορών</w:t>
      </w:r>
    </w:p>
    <w:p w14:paraId="65AF0E0B" w14:textId="77777777" w:rsidR="00BC6BE0" w:rsidRDefault="00000000" w:rsidP="00773927">
      <w:pPr>
        <w:spacing w:after="120" w:line="276" w:lineRule="auto"/>
        <w:jc w:val="both"/>
      </w:pPr>
      <w:r>
        <w:rPr>
          <w:color w:val="222222"/>
        </w:rPr>
        <w:t xml:space="preserve">Ο νόμος απαιτεί δίαυλο που διασφαλίζει την εμπιστευτικότητα της ταυτότητας του αναφέροντος και προστατεύει και όσους αναφέρουν ανώνυμα, εφόσον στη συνέχεια </w:t>
      </w:r>
      <w:proofErr w:type="spellStart"/>
      <w:r>
        <w:rPr>
          <w:color w:val="222222"/>
        </w:rPr>
        <w:t>ταυτοποιηθούν</w:t>
      </w:r>
      <w:proofErr w:type="spellEnd"/>
      <w:r>
        <w:rPr>
          <w:color w:val="222222"/>
        </w:rPr>
        <w:t xml:space="preserve"> και υποστούν αντίποινα. Στην πράξη, η υποβολή μέσω ηλεκτρονικού ταχυδρομείου ή έντυπης φόρμας που παραδίδεται στον προϊστάμενο αποθαρρύνει τις αναφορές και δεν παρέχει τεκμηρίωση τήρησης των προθεσμιών.</w:t>
      </w:r>
    </w:p>
    <w:p w14:paraId="07BAADD1" w14:textId="77777777" w:rsidR="00BC6BE0" w:rsidRDefault="00000000" w:rsidP="00773927">
      <w:pPr>
        <w:spacing w:after="120" w:line="276" w:lineRule="auto"/>
        <w:jc w:val="both"/>
      </w:pPr>
      <w:r>
        <w:rPr>
          <w:color w:val="222222"/>
        </w:rPr>
        <w:t>Η Emetris ανέπτυξε την εφαρμογή FAOS για την υποβολή και διαχείριση ανώνυμων αναφορών. Καλύπτει ταυτόχρονα τις απαιτήσεις του ν. 4990/2022 και του ν. 4808/2021, με ενιαία διαχείριση και διακριτή κατηγοριοποίηση των αναφορών.</w:t>
      </w:r>
    </w:p>
    <w:tbl>
      <w:tblPr>
        <w:tblW w:w="9000" w:type="dxa"/>
        <w:tblBorders>
          <w:top w:val="single" w:sz="4" w:space="0" w:color="D8CFCC"/>
          <w:left w:val="single" w:sz="4" w:space="0" w:color="D8CFCC"/>
          <w:bottom w:val="single" w:sz="4" w:space="0" w:color="D8CFCC"/>
          <w:right w:val="single" w:sz="4" w:space="0" w:color="D8CFCC"/>
          <w:insideH w:val="single" w:sz="4" w:space="0" w:color="D8CFCC"/>
          <w:insideV w:val="single" w:sz="4" w:space="0" w:color="D8CF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00"/>
      </w:tblGrid>
      <w:tr w:rsidR="00BC6BE0" w14:paraId="68A799AA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8B2B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AADB08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color w:val="FFFFFF"/>
                <w:sz w:val="19"/>
                <w:szCs w:val="19"/>
              </w:rPr>
              <w:t>Χαρακτηριστικό</w:t>
            </w:r>
          </w:p>
        </w:tc>
        <w:tc>
          <w:tcPr>
            <w:tcW w:w="6200" w:type="dxa"/>
            <w:shd w:val="clear" w:color="auto" w:fill="8B2B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A18CE8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color w:val="FFFFFF"/>
                <w:sz w:val="19"/>
                <w:szCs w:val="19"/>
              </w:rPr>
              <w:t>Τι καλύπτει</w:t>
            </w:r>
          </w:p>
        </w:tc>
      </w:tr>
      <w:tr w:rsidR="00BC6BE0" w14:paraId="40E7BB92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BEF27E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color w:val="8B2B1A"/>
                <w:sz w:val="19"/>
                <w:szCs w:val="19"/>
              </w:rPr>
              <w:t>Ανώνυμη υποβολή</w:t>
            </w:r>
          </w:p>
        </w:tc>
        <w:tc>
          <w:tcPr>
            <w:tcW w:w="6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69762F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Αναφορά χωρίς αποκάλυψη στοιχείων ταυτότητας, με μοναδικό κωδικό υπόθεσης για παρακολούθηση.</w:t>
            </w:r>
          </w:p>
        </w:tc>
      </w:tr>
      <w:tr w:rsidR="00BC6BE0" w14:paraId="6EB76F91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AF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13B4D2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color w:val="8B2B1A"/>
                <w:sz w:val="19"/>
                <w:szCs w:val="19"/>
              </w:rPr>
              <w:t>Αμφίδρομη επικοινωνία</w:t>
            </w:r>
          </w:p>
        </w:tc>
        <w:tc>
          <w:tcPr>
            <w:tcW w:w="6200" w:type="dxa"/>
            <w:shd w:val="clear" w:color="auto" w:fill="FAF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0C9B88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Ο Υ.Π.Π.Α. ζητά διευκρινίσεις και ο αναφέρων απαντά, διατηρώντας την ανωνυμία του.</w:t>
            </w:r>
          </w:p>
        </w:tc>
      </w:tr>
      <w:tr w:rsidR="00BC6BE0" w14:paraId="33975E63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40129A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color w:val="8B2B1A"/>
                <w:sz w:val="19"/>
                <w:szCs w:val="19"/>
              </w:rPr>
              <w:t>Παρακολούθηση προθεσμιών</w:t>
            </w:r>
          </w:p>
        </w:tc>
        <w:tc>
          <w:tcPr>
            <w:tcW w:w="6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165A69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 xml:space="preserve">Αυτόματη </w:t>
            </w:r>
            <w:proofErr w:type="spellStart"/>
            <w:r>
              <w:rPr>
                <w:sz w:val="19"/>
                <w:szCs w:val="19"/>
              </w:rPr>
              <w:t>χρονοσήμανση</w:t>
            </w:r>
            <w:proofErr w:type="spellEnd"/>
            <w:r>
              <w:rPr>
                <w:sz w:val="19"/>
                <w:szCs w:val="19"/>
              </w:rPr>
              <w:t xml:space="preserve"> και υπενθυμίσεις για τη βεβαίωση των 7 εργάσιμων ημερών και την ενημέρωση των 3 μηνών.</w:t>
            </w:r>
          </w:p>
        </w:tc>
      </w:tr>
      <w:tr w:rsidR="00BC6BE0" w14:paraId="0734302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AF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0CD98D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color w:val="8B2B1A"/>
                <w:sz w:val="19"/>
                <w:szCs w:val="19"/>
              </w:rPr>
              <w:t>Ελεγχόμενη πρόσβαση</w:t>
            </w:r>
          </w:p>
        </w:tc>
        <w:tc>
          <w:tcPr>
            <w:tcW w:w="6200" w:type="dxa"/>
            <w:shd w:val="clear" w:color="auto" w:fill="FAF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02CB0A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Πρόσβαση μόνο σε εξουσιοδοτημένα πρόσωπα, με καταγραφή ενεργειών και ιστορικό μεταβολών.</w:t>
            </w:r>
          </w:p>
        </w:tc>
      </w:tr>
      <w:tr w:rsidR="00BC6BE0" w14:paraId="0584A81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2802D5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color w:val="8B2B1A"/>
                <w:sz w:val="19"/>
                <w:szCs w:val="19"/>
              </w:rPr>
              <w:t>Τήρηση αρχείου</w:t>
            </w:r>
          </w:p>
        </w:tc>
        <w:tc>
          <w:tcPr>
            <w:tcW w:w="6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01AE33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 xml:space="preserve">Ενιαίο μητρώο αναφορών με την έκβαση κάθε υπόθεσης, άμεσα </w:t>
            </w:r>
            <w:proofErr w:type="spellStart"/>
            <w:r>
              <w:rPr>
                <w:sz w:val="19"/>
                <w:szCs w:val="19"/>
              </w:rPr>
              <w:t>επιδείξιμο</w:t>
            </w:r>
            <w:proofErr w:type="spellEnd"/>
            <w:r>
              <w:rPr>
                <w:sz w:val="19"/>
                <w:szCs w:val="19"/>
              </w:rPr>
              <w:t xml:space="preserve"> σε έλεγχο (άρθρο 16 ν. 4990/2022).</w:t>
            </w:r>
          </w:p>
        </w:tc>
      </w:tr>
      <w:tr w:rsidR="00BC6BE0" w14:paraId="1344D02F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shd w:val="clear" w:color="auto" w:fill="FAF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30E107" w14:textId="77777777" w:rsidR="00BC6BE0" w:rsidRDefault="00000000" w:rsidP="00773927">
            <w:pPr>
              <w:spacing w:line="264" w:lineRule="auto"/>
              <w:jc w:val="both"/>
            </w:pPr>
            <w:proofErr w:type="spellStart"/>
            <w:r>
              <w:rPr>
                <w:b/>
                <w:bCs/>
                <w:color w:val="8B2B1A"/>
                <w:sz w:val="19"/>
                <w:szCs w:val="19"/>
              </w:rPr>
              <w:t>Πολυγλωσσική</w:t>
            </w:r>
            <w:proofErr w:type="spellEnd"/>
            <w:r>
              <w:rPr>
                <w:b/>
                <w:bCs/>
                <w:color w:val="8B2B1A"/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color w:val="8B2B1A"/>
                <w:sz w:val="19"/>
                <w:szCs w:val="19"/>
              </w:rPr>
              <w:t>διεπαφή</w:t>
            </w:r>
            <w:proofErr w:type="spellEnd"/>
          </w:p>
        </w:tc>
        <w:tc>
          <w:tcPr>
            <w:tcW w:w="6200" w:type="dxa"/>
            <w:shd w:val="clear" w:color="auto" w:fill="FAF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35BA9C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 xml:space="preserve">Διαθεσιμότητα στις γλώσσες εργασίας της επιχείρησης, ώστε ο δίαυλος να είναι ουσιαστικά </w:t>
            </w:r>
            <w:proofErr w:type="spellStart"/>
            <w:r>
              <w:rPr>
                <w:sz w:val="19"/>
                <w:szCs w:val="19"/>
              </w:rPr>
              <w:t>προσβάσιμος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  <w:tr w:rsidR="00BC6BE0" w14:paraId="4BDFEC18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F368ED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color w:val="8B2B1A"/>
                <w:sz w:val="19"/>
                <w:szCs w:val="19"/>
              </w:rPr>
              <w:t>Φιλοξενία και ασφάλεια</w:t>
            </w:r>
          </w:p>
        </w:tc>
        <w:tc>
          <w:tcPr>
            <w:tcW w:w="62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0D1B60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Φιλοξενία δεδομένων εντός Ευρωπαϊκής Ένωσης, κρυπτογράφηση και διακριτή σύμβαση επεξεργασίας.</w:t>
            </w:r>
          </w:p>
        </w:tc>
      </w:tr>
    </w:tbl>
    <w:p w14:paraId="687133BA" w14:textId="77777777" w:rsidR="00BC6BE0" w:rsidRDefault="00000000" w:rsidP="00773927">
      <w:pPr>
        <w:pBdr>
          <w:bottom w:val="single" w:sz="8" w:space="4" w:color="C4614A"/>
        </w:pBdr>
        <w:spacing w:before="280" w:after="140"/>
        <w:jc w:val="both"/>
      </w:pPr>
      <w:r>
        <w:rPr>
          <w:b/>
          <w:bCs/>
          <w:color w:val="8B2B1A"/>
          <w:sz w:val="26"/>
          <w:szCs w:val="26"/>
        </w:rPr>
        <w:t>4. Μεθοδολογία και χρονοδιάγραμμα</w:t>
      </w:r>
    </w:p>
    <w:tbl>
      <w:tblPr>
        <w:tblW w:w="9000" w:type="dxa"/>
        <w:tblBorders>
          <w:top w:val="single" w:sz="4" w:space="0" w:color="D8CFCC"/>
          <w:left w:val="single" w:sz="4" w:space="0" w:color="D8CFCC"/>
          <w:bottom w:val="single" w:sz="4" w:space="0" w:color="D8CFCC"/>
          <w:right w:val="single" w:sz="4" w:space="0" w:color="D8CFCC"/>
          <w:insideH w:val="single" w:sz="4" w:space="0" w:color="D8CFCC"/>
          <w:insideV w:val="single" w:sz="4" w:space="0" w:color="D8CF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800"/>
        <w:gridCol w:w="4800"/>
      </w:tblGrid>
      <w:tr w:rsidR="00BC6BE0" w14:paraId="2DB5152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8B2B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DA63B3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color w:val="FFFFFF"/>
                <w:sz w:val="19"/>
                <w:szCs w:val="19"/>
              </w:rPr>
              <w:t>Φάση</w:t>
            </w:r>
          </w:p>
        </w:tc>
        <w:tc>
          <w:tcPr>
            <w:tcW w:w="1800" w:type="dxa"/>
            <w:shd w:val="clear" w:color="auto" w:fill="8B2B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2FB0E8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color w:val="FFFFFF"/>
                <w:sz w:val="19"/>
                <w:szCs w:val="19"/>
              </w:rPr>
              <w:t>Διάρκεια</w:t>
            </w:r>
          </w:p>
        </w:tc>
        <w:tc>
          <w:tcPr>
            <w:tcW w:w="4800" w:type="dxa"/>
            <w:shd w:val="clear" w:color="auto" w:fill="8B2B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A276D2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color w:val="FFFFFF"/>
                <w:sz w:val="19"/>
                <w:szCs w:val="19"/>
              </w:rPr>
              <w:t>Βασικά ορόσημα</w:t>
            </w:r>
          </w:p>
        </w:tc>
      </w:tr>
      <w:tr w:rsidR="00BC6BE0" w14:paraId="7080004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F96239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sz w:val="19"/>
                <w:szCs w:val="19"/>
              </w:rPr>
              <w:t>1. Προετοιμασία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39E225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Εβδομάδα 1</w:t>
            </w:r>
          </w:p>
        </w:tc>
        <w:tc>
          <w:tcPr>
            <w:tcW w:w="4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A5A38B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Ομάδα έργου, ορισμός ρόλων, επιβεβαίωση υπαγωγής, συλλογή υλικού</w:t>
            </w:r>
          </w:p>
        </w:tc>
      </w:tr>
      <w:tr w:rsidR="00BC6BE0" w14:paraId="0282B47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AF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98B75B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sz w:val="19"/>
                <w:szCs w:val="19"/>
              </w:rPr>
              <w:t>2. Ανάλυση</w:t>
            </w:r>
          </w:p>
        </w:tc>
        <w:tc>
          <w:tcPr>
            <w:tcW w:w="1800" w:type="dxa"/>
            <w:shd w:val="clear" w:color="auto" w:fill="FAF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BF042F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Εβδομάδες 2–3</w:t>
            </w:r>
          </w:p>
        </w:tc>
        <w:tc>
          <w:tcPr>
            <w:tcW w:w="4800" w:type="dxa"/>
            <w:shd w:val="clear" w:color="auto" w:fill="FAF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106F18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Συνεντεύξεις τμημάτων, αυτοψία, χαρτογράφηση, έκθεση αποκλίσεων</w:t>
            </w:r>
          </w:p>
        </w:tc>
      </w:tr>
      <w:tr w:rsidR="00BC6BE0" w14:paraId="4826C99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526E1B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sz w:val="19"/>
                <w:szCs w:val="19"/>
              </w:rPr>
              <w:t>3. Σχεδιασμός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56EE15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Εβδομάδες 3–5</w:t>
            </w:r>
          </w:p>
        </w:tc>
        <w:tc>
          <w:tcPr>
            <w:tcW w:w="4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F8782B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Πολιτικές, διαδικασίες, Αρχείο Δραστηριοτήτων, έντυπα και μητρώα</w:t>
            </w:r>
          </w:p>
        </w:tc>
      </w:tr>
      <w:tr w:rsidR="00BC6BE0" w14:paraId="78963DB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AF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114429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sz w:val="19"/>
                <w:szCs w:val="19"/>
              </w:rPr>
              <w:t>4. Εφαρμογή</w:t>
            </w:r>
          </w:p>
        </w:tc>
        <w:tc>
          <w:tcPr>
            <w:tcW w:w="1800" w:type="dxa"/>
            <w:shd w:val="clear" w:color="auto" w:fill="FAF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708E3F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Εβδομάδες 5–7</w:t>
            </w:r>
          </w:p>
        </w:tc>
        <w:tc>
          <w:tcPr>
            <w:tcW w:w="4800" w:type="dxa"/>
            <w:shd w:val="clear" w:color="auto" w:fill="FAF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0DC6F4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Δίαυλος αναφορών, εκπαιδεύσεις, αναρτήσεις, γνωστοποιήσεις</w:t>
            </w:r>
          </w:p>
        </w:tc>
      </w:tr>
      <w:tr w:rsidR="00BC6BE0" w14:paraId="15861B4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CB0687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sz w:val="19"/>
                <w:szCs w:val="19"/>
              </w:rPr>
              <w:t>5. Έλεγχος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C6298F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Εβδομάδα 8</w:t>
            </w:r>
          </w:p>
        </w:tc>
        <w:tc>
          <w:tcPr>
            <w:tcW w:w="4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35157C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Εσωτερικός έλεγχος, δοκιμαστική αναφορά, παράδοση φακέλου συμμόρφωσης</w:t>
            </w:r>
          </w:p>
        </w:tc>
      </w:tr>
    </w:tbl>
    <w:p w14:paraId="54D1357A" w14:textId="77777777" w:rsidR="00BC6BE0" w:rsidRDefault="00BC6BE0" w:rsidP="00773927">
      <w:pPr>
        <w:spacing w:after="140"/>
        <w:jc w:val="both"/>
      </w:pPr>
    </w:p>
    <w:p w14:paraId="0A732596" w14:textId="77777777" w:rsidR="00773927" w:rsidRDefault="00773927" w:rsidP="00773927">
      <w:pPr>
        <w:spacing w:before="200" w:after="100"/>
        <w:jc w:val="both"/>
        <w:rPr>
          <w:b/>
          <w:bCs/>
          <w:color w:val="C4614A"/>
          <w:sz w:val="22"/>
          <w:szCs w:val="22"/>
        </w:rPr>
      </w:pPr>
    </w:p>
    <w:p w14:paraId="0254B6C7" w14:textId="77777777" w:rsidR="00773927" w:rsidRDefault="00773927" w:rsidP="00773927">
      <w:pPr>
        <w:spacing w:before="200" w:after="100"/>
        <w:jc w:val="both"/>
        <w:rPr>
          <w:b/>
          <w:bCs/>
          <w:color w:val="C4614A"/>
          <w:sz w:val="22"/>
          <w:szCs w:val="22"/>
        </w:rPr>
      </w:pPr>
    </w:p>
    <w:p w14:paraId="78FD7C7B" w14:textId="7E75A555" w:rsidR="00BC6BE0" w:rsidRDefault="00000000" w:rsidP="00773927">
      <w:pPr>
        <w:spacing w:before="200" w:after="100"/>
        <w:jc w:val="both"/>
      </w:pPr>
      <w:r>
        <w:rPr>
          <w:b/>
          <w:bCs/>
          <w:color w:val="C4614A"/>
          <w:sz w:val="22"/>
          <w:szCs w:val="22"/>
        </w:rPr>
        <w:lastRenderedPageBreak/>
        <w:t>Η φιλοσοφία της προσέγγισης</w:t>
      </w:r>
    </w:p>
    <w:p w14:paraId="2F9D81DB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Ενιαίος δίαυλος — </w:t>
      </w:r>
      <w:r>
        <w:rPr>
          <w:color w:val="222222"/>
        </w:rPr>
        <w:t>μία διαδικασία υποβολής και παρακολούθησης που εξυπηρετεί και τα δύο νομοθετήματα.</w:t>
      </w:r>
    </w:p>
    <w:p w14:paraId="488B7C1C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Λιτή τεκμηρίωση — </w:t>
      </w:r>
      <w:r>
        <w:rPr>
          <w:color w:val="222222"/>
        </w:rPr>
        <w:t>μόνο τα υποχρεωτικά έγγραφα, σε μορφή που ο υπεύθυνος της επιχείρησης μπορεί να συντηρήσει χωρίς εξωτερική βοήθεια.</w:t>
      </w:r>
    </w:p>
    <w:p w14:paraId="2A2517F0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Ψηφιακή λογική — </w:t>
      </w:r>
      <w:r>
        <w:rPr>
          <w:color w:val="222222"/>
        </w:rPr>
        <w:t>υποβολή, προθεσμίες και αρχείο μέσω πλατφόρμας, αντί χειρόγραφων εντύπων και ηλεκτρονικού ταχυδρομείου.</w:t>
      </w:r>
    </w:p>
    <w:p w14:paraId="6C141CE3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Ετοιμότητα ελέγχου — </w:t>
      </w:r>
      <w:r>
        <w:rPr>
          <w:color w:val="222222"/>
        </w:rPr>
        <w:t xml:space="preserve">κάθε παραδοτέο παράγεται σε μορφή άμεσα </w:t>
      </w:r>
      <w:proofErr w:type="spellStart"/>
      <w:r>
        <w:rPr>
          <w:color w:val="222222"/>
        </w:rPr>
        <w:t>επιδείξιμη</w:t>
      </w:r>
      <w:proofErr w:type="spellEnd"/>
      <w:r>
        <w:rPr>
          <w:color w:val="222222"/>
        </w:rPr>
        <w:t xml:space="preserve"> σε επιθεώρηση, με ημερομηνίες, υπογραφές και αποδεικτικά ενημέρωσης.</w:t>
      </w:r>
    </w:p>
    <w:p w14:paraId="5AA53456" w14:textId="77777777" w:rsidR="00BC6BE0" w:rsidRDefault="00000000" w:rsidP="00773927">
      <w:pPr>
        <w:pBdr>
          <w:bottom w:val="single" w:sz="8" w:space="4" w:color="C4614A"/>
        </w:pBdr>
        <w:spacing w:before="280" w:after="140"/>
        <w:jc w:val="both"/>
      </w:pPr>
      <w:r>
        <w:rPr>
          <w:b/>
          <w:bCs/>
          <w:color w:val="8B2B1A"/>
          <w:sz w:val="26"/>
          <w:szCs w:val="26"/>
        </w:rPr>
        <w:t>5. Κυρώσεις και οφέλη</w:t>
      </w:r>
    </w:p>
    <w:tbl>
      <w:tblPr>
        <w:tblW w:w="9000" w:type="dxa"/>
        <w:tblBorders>
          <w:top w:val="single" w:sz="4" w:space="0" w:color="D8CFCC"/>
          <w:left w:val="single" w:sz="4" w:space="0" w:color="D8CFCC"/>
          <w:bottom w:val="single" w:sz="4" w:space="0" w:color="D8CFCC"/>
          <w:right w:val="single" w:sz="4" w:space="0" w:color="D8CFCC"/>
          <w:insideH w:val="single" w:sz="4" w:space="0" w:color="D8CFCC"/>
          <w:insideV w:val="single" w:sz="4" w:space="0" w:color="D8CF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600"/>
      </w:tblGrid>
      <w:tr w:rsidR="00BC6BE0" w14:paraId="6BF920E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8B2B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D5BB76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color w:val="FFFFFF"/>
                <w:sz w:val="19"/>
                <w:szCs w:val="19"/>
              </w:rPr>
              <w:t>Πλαίσιο</w:t>
            </w:r>
          </w:p>
        </w:tc>
        <w:tc>
          <w:tcPr>
            <w:tcW w:w="6600" w:type="dxa"/>
            <w:shd w:val="clear" w:color="auto" w:fill="8B2B1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8546C7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color w:val="FFFFFF"/>
                <w:sz w:val="19"/>
                <w:szCs w:val="19"/>
              </w:rPr>
              <w:t>Κύρωση μη συμμόρφωσης</w:t>
            </w:r>
          </w:p>
        </w:tc>
      </w:tr>
      <w:tr w:rsidR="00BC6BE0" w14:paraId="594F808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6F1062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color w:val="8B2B1A"/>
                <w:sz w:val="19"/>
                <w:szCs w:val="19"/>
              </w:rPr>
              <w:t>ν. 4990/2022</w:t>
            </w:r>
          </w:p>
        </w:tc>
        <w:tc>
          <w:tcPr>
            <w:tcW w:w="6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D465BA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Διοικητικό πρόστιμο 10.000 έως 500.000 ευρώ για παραβάσεις που τελούνται προς όφελος ή για λογαριασμό του νομικού προσώπου (άρθρο 23 παρ. 5).</w:t>
            </w:r>
          </w:p>
        </w:tc>
      </w:tr>
      <w:tr w:rsidR="00BC6BE0" w14:paraId="69E4973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FAF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0209D0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color w:val="8B2B1A"/>
                <w:sz w:val="19"/>
                <w:szCs w:val="19"/>
              </w:rPr>
              <w:t>ν. 4808/2021</w:t>
            </w:r>
          </w:p>
        </w:tc>
        <w:tc>
          <w:tcPr>
            <w:tcW w:w="6600" w:type="dxa"/>
            <w:shd w:val="clear" w:color="auto" w:fill="FAF7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3F63CE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Έλεγχος και επιβολή κυρώσεων από την Ανεξάρτητη Αρχή Επιθεώρηση Εργασίας· δικαίωμα προσφυγής του εργαζομένου στην Επιθεώρηση και στον Συνήγορο του Πολίτη.</w:t>
            </w:r>
          </w:p>
        </w:tc>
      </w:tr>
      <w:tr w:rsidR="00BC6BE0" w14:paraId="454CAFE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8B3BAF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b/>
                <w:bCs/>
                <w:color w:val="8B2B1A"/>
                <w:sz w:val="19"/>
                <w:szCs w:val="19"/>
              </w:rPr>
              <w:t>Καν. (ΕΕ) 2016/679</w:t>
            </w:r>
          </w:p>
        </w:tc>
        <w:tc>
          <w:tcPr>
            <w:tcW w:w="66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7D5C59" w14:textId="77777777" w:rsidR="00BC6BE0" w:rsidRDefault="00000000" w:rsidP="00773927">
            <w:pPr>
              <w:spacing w:line="264" w:lineRule="auto"/>
              <w:jc w:val="both"/>
            </w:pPr>
            <w:r>
              <w:rPr>
                <w:sz w:val="19"/>
                <w:szCs w:val="19"/>
              </w:rPr>
              <w:t>Διοικητικά πρόστιμα έως 20.000.000 ευρώ ή έως 4% του παγκόσμιου ετήσιου κύκλου εργασιών, ανάλογα με το ποιο είναι υψηλότερο (άρθρο 83).</w:t>
            </w:r>
          </w:p>
        </w:tc>
      </w:tr>
    </w:tbl>
    <w:p w14:paraId="2A041F1C" w14:textId="77777777" w:rsidR="00BC6BE0" w:rsidRDefault="00BC6BE0" w:rsidP="00773927">
      <w:pPr>
        <w:spacing w:after="140"/>
        <w:jc w:val="both"/>
      </w:pPr>
    </w:p>
    <w:p w14:paraId="7B2A3CE0" w14:textId="77777777" w:rsidR="00BC6BE0" w:rsidRDefault="00000000" w:rsidP="00773927">
      <w:pPr>
        <w:spacing w:before="200" w:after="100"/>
        <w:jc w:val="both"/>
      </w:pPr>
      <w:r>
        <w:rPr>
          <w:b/>
          <w:bCs/>
          <w:color w:val="C4614A"/>
          <w:sz w:val="22"/>
          <w:szCs w:val="22"/>
        </w:rPr>
        <w:t>Τι κερδίζει η επιχείρηση πέρα από την αποφυγή προστίμου</w:t>
      </w:r>
    </w:p>
    <w:p w14:paraId="1E6E5710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Θωράκιση σε εργατικές διαφορές — </w:t>
      </w:r>
      <w:r>
        <w:rPr>
          <w:color w:val="222222"/>
        </w:rPr>
        <w:t>τεκμηριωμένη διαδικασία παραλαβής και διερεύνησης καταγγελιών, που αποδεικνύει τη δέουσα επιμέλεια του εργοδότη.</w:t>
      </w:r>
    </w:p>
    <w:p w14:paraId="0A0EB3B1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Απαιτήσεις συνεργατών — </w:t>
      </w:r>
      <w:r>
        <w:rPr>
          <w:color w:val="222222"/>
        </w:rPr>
        <w:t xml:space="preserve">κάλυψη των ερωτηματολογίων δέουσας επιμέλειας από μεγάλους εταιρικούς πελάτες, </w:t>
      </w:r>
      <w:proofErr w:type="spellStart"/>
      <w:r>
        <w:rPr>
          <w:color w:val="222222"/>
        </w:rPr>
        <w:t>tour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operators</w:t>
      </w:r>
      <w:proofErr w:type="spellEnd"/>
      <w:r>
        <w:rPr>
          <w:color w:val="222222"/>
        </w:rPr>
        <w:t xml:space="preserve"> και σχήματα πιστοποίησης.</w:t>
      </w:r>
    </w:p>
    <w:p w14:paraId="71104D96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proofErr w:type="spellStart"/>
      <w:r>
        <w:rPr>
          <w:b/>
          <w:bCs/>
          <w:color w:val="8B2B1A"/>
        </w:rPr>
        <w:t>Διακράτηση</w:t>
      </w:r>
      <w:proofErr w:type="spellEnd"/>
      <w:r>
        <w:rPr>
          <w:b/>
          <w:bCs/>
          <w:color w:val="8B2B1A"/>
        </w:rPr>
        <w:t xml:space="preserve"> προσωπικού — </w:t>
      </w:r>
      <w:r>
        <w:rPr>
          <w:color w:val="222222"/>
        </w:rPr>
        <w:t>σαφές πλαίσιο προστασίας και ασφαλής δίαυλος αναφοράς επηρεάζουν άμεσα την παραμονή του προσωπικού.</w:t>
      </w:r>
    </w:p>
    <w:p w14:paraId="197D6DDA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Προστασία φήμης — </w:t>
      </w:r>
      <w:r>
        <w:rPr>
          <w:color w:val="222222"/>
        </w:rPr>
        <w:t>έγκαιρος εσωτερικός εντοπισμός περιστατικών, πριν οδηγηθούν σε δημόσια αποκάλυψη ή εξωτερική αναφορά.</w:t>
      </w:r>
    </w:p>
    <w:p w14:paraId="7BEC0F7F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Βάση για μελλοντικό ISO — </w:t>
      </w:r>
      <w:r>
        <w:rPr>
          <w:color w:val="222222"/>
        </w:rPr>
        <w:t>οι πολιτικές, τα μητρώα και οι εκτιμήσεις κινδύνων αξιοποιούνται αυτούσιες σε ISO 9001, 27001 ή 37001.</w:t>
      </w:r>
    </w:p>
    <w:p w14:paraId="2A1B6A08" w14:textId="77777777" w:rsidR="00BC6BE0" w:rsidRDefault="00000000" w:rsidP="00773927">
      <w:pPr>
        <w:pStyle w:val="a4"/>
        <w:numPr>
          <w:ilvl w:val="0"/>
          <w:numId w:val="1"/>
        </w:numPr>
        <w:spacing w:after="80" w:line="264" w:lineRule="auto"/>
        <w:ind w:left="360" w:hanging="200"/>
        <w:jc w:val="both"/>
      </w:pPr>
      <w:r>
        <w:rPr>
          <w:b/>
          <w:bCs/>
          <w:color w:val="8B2B1A"/>
        </w:rPr>
        <w:t xml:space="preserve">Ετοιμότητα βιωσιμότητας — </w:t>
      </w:r>
      <w:r>
        <w:rPr>
          <w:color w:val="222222"/>
        </w:rPr>
        <w:t>παραγωγή των κοινωνικών δεικτών που ζητούν τα πρότυπα VSME και ESRS.</w:t>
      </w:r>
    </w:p>
    <w:p w14:paraId="78BF8826" w14:textId="77777777" w:rsidR="00BC6BE0" w:rsidRDefault="00BC6BE0" w:rsidP="00773927">
      <w:pPr>
        <w:spacing w:after="160"/>
        <w:jc w:val="both"/>
      </w:pPr>
    </w:p>
    <w:sectPr w:rsidR="00BC6BE0">
      <w:headerReference w:type="default" r:id="rId7"/>
      <w:footerReference w:type="default" r:id="rId8"/>
      <w:pgSz w:w="11906" w:h="16838"/>
      <w:pgMar w:top="1300" w:right="1440" w:bottom="1200" w:left="1440" w:header="560" w:footer="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260D9" w14:textId="77777777" w:rsidR="005F3C2B" w:rsidRDefault="005F3C2B">
      <w:r>
        <w:separator/>
      </w:r>
    </w:p>
  </w:endnote>
  <w:endnote w:type="continuationSeparator" w:id="0">
    <w:p w14:paraId="30015200" w14:textId="77777777" w:rsidR="005F3C2B" w:rsidRDefault="005F3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D1FD" w14:textId="77777777" w:rsidR="00BC6BE0" w:rsidRDefault="00000000">
    <w:pPr>
      <w:pBdr>
        <w:top w:val="single" w:sz="6" w:space="4" w:color="C4614A"/>
      </w:pBdr>
      <w:spacing w:before="60" w:after="20"/>
      <w:jc w:val="center"/>
    </w:pPr>
    <w:r>
      <w:rPr>
        <w:color w:val="6B6B6B"/>
        <w:sz w:val="14"/>
        <w:szCs w:val="14"/>
      </w:rPr>
      <w:t>Μιχαήλ Ψελλού 13, Καλαμαριά, Θεσσαλονίκη | Τ.Κ. 54655 | ΤΗΛ. 2310 471721 | info@emetris.gr</w:t>
    </w:r>
  </w:p>
  <w:p w14:paraId="31038704" w14:textId="77777777" w:rsidR="00BC6BE0" w:rsidRDefault="00000000">
    <w:pPr>
      <w:jc w:val="center"/>
    </w:pPr>
    <w:r>
      <w:rPr>
        <w:color w:val="6B6B6B"/>
        <w:sz w:val="14"/>
        <w:szCs w:val="14"/>
      </w:rPr>
      <w:t xml:space="preserve">Σελ. </w:t>
    </w:r>
    <w:r>
      <w:rPr>
        <w:color w:val="6B6B6B"/>
        <w:sz w:val="14"/>
        <w:szCs w:val="14"/>
      </w:rPr>
      <w:fldChar w:fldCharType="begin"/>
    </w:r>
    <w:r>
      <w:rPr>
        <w:color w:val="6B6B6B"/>
        <w:sz w:val="14"/>
        <w:szCs w:val="14"/>
      </w:rPr>
      <w:instrText>PAGE</w:instrText>
    </w:r>
    <w:r>
      <w:rPr>
        <w:color w:val="6B6B6B"/>
        <w:sz w:val="14"/>
        <w:szCs w:val="14"/>
      </w:rPr>
      <w:fldChar w:fldCharType="separate"/>
    </w:r>
    <w:r w:rsidR="00773927">
      <w:rPr>
        <w:noProof/>
        <w:color w:val="6B6B6B"/>
        <w:sz w:val="14"/>
        <w:szCs w:val="14"/>
      </w:rPr>
      <w:t>1</w:t>
    </w:r>
    <w:r>
      <w:rPr>
        <w:color w:val="6B6B6B"/>
        <w:sz w:val="14"/>
        <w:szCs w:val="14"/>
      </w:rPr>
      <w:fldChar w:fldCharType="end"/>
    </w:r>
    <w:r>
      <w:rPr>
        <w:color w:val="6B6B6B"/>
        <w:sz w:val="14"/>
        <w:szCs w:val="14"/>
      </w:rPr>
      <w:t xml:space="preserve"> / </w:t>
    </w:r>
    <w:r>
      <w:rPr>
        <w:color w:val="6B6B6B"/>
        <w:sz w:val="14"/>
        <w:szCs w:val="14"/>
      </w:rPr>
      <w:fldChar w:fldCharType="begin"/>
    </w:r>
    <w:r>
      <w:rPr>
        <w:color w:val="6B6B6B"/>
        <w:sz w:val="14"/>
        <w:szCs w:val="14"/>
      </w:rPr>
      <w:instrText>NUMPAGES</w:instrText>
    </w:r>
    <w:r>
      <w:rPr>
        <w:color w:val="6B6B6B"/>
        <w:sz w:val="14"/>
        <w:szCs w:val="14"/>
      </w:rPr>
      <w:fldChar w:fldCharType="separate"/>
    </w:r>
    <w:r w:rsidR="00773927">
      <w:rPr>
        <w:noProof/>
        <w:color w:val="6B6B6B"/>
        <w:sz w:val="14"/>
        <w:szCs w:val="14"/>
      </w:rPr>
      <w:t>2</w:t>
    </w:r>
    <w:r>
      <w:rPr>
        <w:color w:val="6B6B6B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E4C5C" w14:textId="77777777" w:rsidR="005F3C2B" w:rsidRDefault="005F3C2B">
      <w:r>
        <w:separator/>
      </w:r>
    </w:p>
  </w:footnote>
  <w:footnote w:type="continuationSeparator" w:id="0">
    <w:p w14:paraId="296DC73C" w14:textId="77777777" w:rsidR="005F3C2B" w:rsidRDefault="005F3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7D2F2" w14:textId="77777777" w:rsidR="00BC6BE0" w:rsidRDefault="00000000">
    <w:pPr>
      <w:pBdr>
        <w:bottom w:val="single" w:sz="12" w:space="3" w:color="8B2B1A"/>
      </w:pBdr>
      <w:spacing w:after="40"/>
    </w:pPr>
    <w:r>
      <w:rPr>
        <w:b/>
        <w:bCs/>
        <w:color w:val="8B2B1A"/>
        <w:spacing w:val="30"/>
        <w:sz w:val="22"/>
        <w:szCs w:val="22"/>
      </w:rPr>
      <w:t>EMETRIS</w:t>
    </w:r>
    <w:r>
      <w:rPr>
        <w:color w:val="6B6B6B"/>
        <w:sz w:val="16"/>
        <w:szCs w:val="16"/>
      </w:rPr>
      <w:t xml:space="preserve">  |  Σύμβουλοι Ανάπτυξης, Οργάνωσης &amp; Πληροφορικής</w:t>
    </w:r>
  </w:p>
  <w:p w14:paraId="21F4430A" w14:textId="77777777" w:rsidR="00BC6BE0" w:rsidRDefault="00BC6BE0">
    <w:pPr>
      <w:spacing w:after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624DA"/>
    <w:multiLevelType w:val="hybridMultilevel"/>
    <w:tmpl w:val="F5C4EA02"/>
    <w:lvl w:ilvl="0" w:tplc="F14C8EFA">
      <w:start w:val="1"/>
      <w:numFmt w:val="bullet"/>
      <w:lvlText w:val="•"/>
      <w:lvlJc w:val="left"/>
    </w:lvl>
    <w:lvl w:ilvl="1" w:tplc="B9B8623A">
      <w:numFmt w:val="decimal"/>
      <w:lvlText w:val=""/>
      <w:lvlJc w:val="left"/>
    </w:lvl>
    <w:lvl w:ilvl="2" w:tplc="C414AB18">
      <w:numFmt w:val="decimal"/>
      <w:lvlText w:val=""/>
      <w:lvlJc w:val="left"/>
    </w:lvl>
    <w:lvl w:ilvl="3" w:tplc="5DDADD9E">
      <w:numFmt w:val="decimal"/>
      <w:lvlText w:val=""/>
      <w:lvlJc w:val="left"/>
    </w:lvl>
    <w:lvl w:ilvl="4" w:tplc="877286BE">
      <w:numFmt w:val="decimal"/>
      <w:lvlText w:val=""/>
      <w:lvlJc w:val="left"/>
    </w:lvl>
    <w:lvl w:ilvl="5" w:tplc="CDA4A38A">
      <w:numFmt w:val="decimal"/>
      <w:lvlText w:val=""/>
      <w:lvlJc w:val="left"/>
    </w:lvl>
    <w:lvl w:ilvl="6" w:tplc="69D2F64C">
      <w:numFmt w:val="decimal"/>
      <w:lvlText w:val=""/>
      <w:lvlJc w:val="left"/>
    </w:lvl>
    <w:lvl w:ilvl="7" w:tplc="51221028">
      <w:numFmt w:val="decimal"/>
      <w:lvlText w:val=""/>
      <w:lvlJc w:val="left"/>
    </w:lvl>
    <w:lvl w:ilvl="8" w:tplc="45124060">
      <w:numFmt w:val="decimal"/>
      <w:lvlText w:val=""/>
      <w:lvlJc w:val="left"/>
    </w:lvl>
  </w:abstractNum>
  <w:abstractNum w:abstractNumId="1" w15:restartNumberingAfterBreak="0">
    <w:nsid w:val="20DB2523"/>
    <w:multiLevelType w:val="hybridMultilevel"/>
    <w:tmpl w:val="2EC6A8BE"/>
    <w:lvl w:ilvl="0" w:tplc="11E8342C">
      <w:start w:val="1"/>
      <w:numFmt w:val="bullet"/>
      <w:lvlText w:val="●"/>
      <w:lvlJc w:val="left"/>
      <w:pPr>
        <w:ind w:left="720" w:hanging="360"/>
      </w:pPr>
    </w:lvl>
    <w:lvl w:ilvl="1" w:tplc="CF941CBC">
      <w:start w:val="1"/>
      <w:numFmt w:val="bullet"/>
      <w:lvlText w:val="○"/>
      <w:lvlJc w:val="left"/>
      <w:pPr>
        <w:ind w:left="1440" w:hanging="360"/>
      </w:pPr>
    </w:lvl>
    <w:lvl w:ilvl="2" w:tplc="CF2678FE">
      <w:start w:val="1"/>
      <w:numFmt w:val="bullet"/>
      <w:lvlText w:val="■"/>
      <w:lvlJc w:val="left"/>
      <w:pPr>
        <w:ind w:left="2160" w:hanging="360"/>
      </w:pPr>
    </w:lvl>
    <w:lvl w:ilvl="3" w:tplc="30A0BB26">
      <w:start w:val="1"/>
      <w:numFmt w:val="bullet"/>
      <w:lvlText w:val="●"/>
      <w:lvlJc w:val="left"/>
      <w:pPr>
        <w:ind w:left="2880" w:hanging="360"/>
      </w:pPr>
    </w:lvl>
    <w:lvl w:ilvl="4" w:tplc="2B908A4A">
      <w:start w:val="1"/>
      <w:numFmt w:val="bullet"/>
      <w:lvlText w:val="○"/>
      <w:lvlJc w:val="left"/>
      <w:pPr>
        <w:ind w:left="3600" w:hanging="360"/>
      </w:pPr>
    </w:lvl>
    <w:lvl w:ilvl="5" w:tplc="C45EC96A">
      <w:start w:val="1"/>
      <w:numFmt w:val="bullet"/>
      <w:lvlText w:val="■"/>
      <w:lvlJc w:val="left"/>
      <w:pPr>
        <w:ind w:left="4320" w:hanging="360"/>
      </w:pPr>
    </w:lvl>
    <w:lvl w:ilvl="6" w:tplc="8C02B998">
      <w:start w:val="1"/>
      <w:numFmt w:val="bullet"/>
      <w:lvlText w:val="●"/>
      <w:lvlJc w:val="left"/>
      <w:pPr>
        <w:ind w:left="5040" w:hanging="360"/>
      </w:pPr>
    </w:lvl>
    <w:lvl w:ilvl="7" w:tplc="8B048864">
      <w:start w:val="1"/>
      <w:numFmt w:val="bullet"/>
      <w:lvlText w:val="●"/>
      <w:lvlJc w:val="left"/>
      <w:pPr>
        <w:ind w:left="5760" w:hanging="360"/>
      </w:pPr>
    </w:lvl>
    <w:lvl w:ilvl="8" w:tplc="0A965628">
      <w:start w:val="1"/>
      <w:numFmt w:val="bullet"/>
      <w:lvlText w:val="●"/>
      <w:lvlJc w:val="left"/>
      <w:pPr>
        <w:ind w:left="6480" w:hanging="360"/>
      </w:pPr>
    </w:lvl>
  </w:abstractNum>
  <w:num w:numId="1" w16cid:durableId="9636477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BE0"/>
    <w:rsid w:val="005F3C2B"/>
    <w:rsid w:val="00773927"/>
    <w:rsid w:val="00BC6BE0"/>
    <w:rsid w:val="00FC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42EB"/>
  <w15:docId w15:val="{44FB15F4-9B53-4B65-9EB3-CB98E866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1312</Words>
  <Characters>7090</Characters>
  <Application>Microsoft Office Word</Application>
  <DocSecurity>0</DocSecurity>
  <Lines>59</Lines>
  <Paragraphs>16</Paragraphs>
  <ScaleCrop>false</ScaleCrop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Ioannis Delandreas</cp:lastModifiedBy>
  <cp:revision>2</cp:revision>
  <dcterms:created xsi:type="dcterms:W3CDTF">2026-07-31T11:16:00Z</dcterms:created>
  <dcterms:modified xsi:type="dcterms:W3CDTF">2026-07-31T12:38:00Z</dcterms:modified>
</cp:coreProperties>
</file>